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4105"/>
      </w:tblGrid>
      <w:tr w:rsidR="005B152E" w:rsidRPr="005B152E" w14:paraId="0CA9C340" w14:textId="77777777" w:rsidTr="005B152E">
        <w:trPr>
          <w:tblCellSpacing w:w="24" w:type="dxa"/>
        </w:trPr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8EFE20D" w14:textId="77777777" w:rsidR="005B152E" w:rsidRPr="005B152E" w:rsidRDefault="005B152E" w:rsidP="005B152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HỘI ĐỒNG BỘ TRƯỞNG</w:t>
            </w:r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BFDDB8" w14:textId="77777777" w:rsidR="005B152E" w:rsidRPr="005B152E" w:rsidRDefault="005B152E" w:rsidP="005B152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5B152E" w:rsidRPr="005B152E" w14:paraId="73A034B7" w14:textId="77777777" w:rsidTr="005B152E">
        <w:trPr>
          <w:tblCellSpacing w:w="24" w:type="dxa"/>
        </w:trPr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B414D6" w14:textId="77777777" w:rsidR="005B152E" w:rsidRPr="005B152E" w:rsidRDefault="005B152E" w:rsidP="005B152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15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5B15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299-HĐBT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290447E" w14:textId="77777777" w:rsidR="005B152E" w:rsidRPr="005B152E" w:rsidRDefault="005B152E" w:rsidP="005B152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15 </w:t>
            </w:r>
            <w:proofErr w:type="spellStart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8 </w:t>
            </w:r>
            <w:proofErr w:type="spellStart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5B152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1992</w:t>
            </w:r>
          </w:p>
        </w:tc>
      </w:tr>
    </w:tbl>
    <w:p w14:paraId="6413515C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54251129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2D102A76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5B152E">
        <w:rPr>
          <w:rFonts w:ascii="Arial" w:eastAsia="Times New Roman" w:hAnsi="Arial" w:cs="Arial"/>
          <w:color w:val="000000"/>
          <w:sz w:val="18"/>
          <w:szCs w:val="18"/>
        </w:rPr>
        <w:t>CUẢ HỘI ĐỒNG BỘ TRƯỞNG SỐ 299-HĐBT NGÀY 15-8-1992 BAN HÀNH ĐIỀU LỆ BẢO HIỂM Y TẾ </w:t>
      </w:r>
      <w:bookmarkEnd w:id="1"/>
    </w:p>
    <w:p w14:paraId="6039BF2A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HỘI ĐỒNG BỘ TRƯỞNG  </w:t>
      </w:r>
    </w:p>
    <w:p w14:paraId="2267A758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4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7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1981;</w:t>
      </w:r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39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61,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Hiến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Cộng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hòa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nghĩa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Nam;</w:t>
      </w:r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 xml:space="preserve">Theo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7D8BA2D2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70F259E8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_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 Nay ban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kèm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1C7010CB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 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binh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12410ACC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"/>
    </w:p>
    <w:p w14:paraId="6447FFC9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4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10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1992.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"/>
    </w:p>
    <w:p w14:paraId="392CAD64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5B152E" w:rsidRPr="005B152E" w14:paraId="58FA04A5" w14:textId="77777777" w:rsidTr="005B152E">
        <w:trPr>
          <w:tblCellSpacing w:w="0" w:type="dxa"/>
        </w:trPr>
        <w:tc>
          <w:tcPr>
            <w:tcW w:w="4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4BA56" w14:textId="77777777" w:rsidR="005B152E" w:rsidRPr="005B152E" w:rsidRDefault="005B152E" w:rsidP="005B152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2307" w14:textId="77777777" w:rsidR="005B152E" w:rsidRPr="005B152E" w:rsidRDefault="005B152E" w:rsidP="005B152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Võ</w:t>
            </w:r>
            <w:proofErr w:type="spellEnd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Văn</w:t>
            </w:r>
            <w:proofErr w:type="spellEnd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5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Kiệt</w:t>
            </w:r>
            <w:proofErr w:type="spellEnd"/>
          </w:p>
          <w:p w14:paraId="17E57659" w14:textId="77777777" w:rsidR="005B152E" w:rsidRPr="005B152E" w:rsidRDefault="005B152E" w:rsidP="005B152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B15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 w:rsidRPr="005B15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Đã</w:t>
            </w:r>
            <w:proofErr w:type="spellEnd"/>
            <w:r w:rsidRPr="005B15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15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ký</w:t>
            </w:r>
            <w:proofErr w:type="spellEnd"/>
            <w:r w:rsidRPr="005B15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</w:tbl>
    <w:p w14:paraId="0A91141C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7ABD3003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loai_2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 LỆ BẢO HIỂM Y TẾ</w:t>
      </w:r>
      <w:bookmarkEnd w:id="6"/>
      <w:r w:rsidRPr="005B152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(Ban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kèm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số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299-HĐBT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15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8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i/>
          <w:iCs/>
          <w:color w:val="000000"/>
          <w:sz w:val="18"/>
          <w:szCs w:val="18"/>
        </w:rPr>
        <w:t>)</w:t>
      </w:r>
    </w:p>
    <w:p w14:paraId="46E7EBFC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chuong_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1:</w:t>
      </w:r>
      <w:bookmarkEnd w:id="7"/>
    </w:p>
    <w:p w14:paraId="4A54F6FE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8" w:name="chuong_1_name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NHỮNG QUY ĐỊNH CHUNG</w:t>
      </w:r>
      <w:bookmarkEnd w:id="8"/>
    </w:p>
    <w:p w14:paraId="38943CF3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9" w:name="dieu_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nhằm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góp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tăng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9"/>
    </w:p>
    <w:p w14:paraId="29F3057A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0" w:name="dieu_2_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2. 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áp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bắt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hưu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nghỉ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chủ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sau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10"/>
    </w:p>
    <w:p w14:paraId="6B25F2EF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đoàn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quần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9E59DF5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vũ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đoàn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quần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...</w:t>
      </w:r>
    </w:p>
    <w:p w14:paraId="68E97F77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thuê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10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vốn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xuất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0CBF2A9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văn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phòng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đặt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thuê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0B2935F5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1" w:name="dieu_3_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3.-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nguyện</w:t>
      </w:r>
      <w:bookmarkEnd w:id="11"/>
      <w:proofErr w:type="spellEnd"/>
    </w:p>
    <w:p w14:paraId="4707B572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2" w:name="dieu_4_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lastRenderedPageBreak/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miễn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giảm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vẫn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45-HĐBT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24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4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1989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1, 2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2"/>
    </w:p>
    <w:p w14:paraId="0DC8AE29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3" w:name="dieu_5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13"/>
    </w:p>
    <w:p w14:paraId="66CE02E7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" w:name="dieu_6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6.-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bằng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nguồn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14"/>
    </w:p>
    <w:p w14:paraId="085257F9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5" w:name="chuong_2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Chương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2:</w:t>
      </w:r>
      <w:bookmarkEnd w:id="15"/>
    </w:p>
    <w:p w14:paraId="5A05AF31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6" w:name="chuong_2_name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MỨC ĐÓNG </w:t>
      </w:r>
      <w:proofErr w:type="gramStart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GÓP  VÀ</w:t>
      </w:r>
      <w:proofErr w:type="gramEnd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TRÁCH NHIỆM ĐÓNG BẢO HIỂM Y TẾ</w:t>
      </w:r>
      <w:bookmarkEnd w:id="16"/>
    </w:p>
    <w:p w14:paraId="271ECC6F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7" w:name="dieu_7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7.-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chưa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bằng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10%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(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203-HĐBT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28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1988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2/3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1/3.</w:t>
      </w:r>
      <w:bookmarkEnd w:id="17"/>
    </w:p>
    <w:p w14:paraId="63958BCC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8" w:name="dieu_8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8.-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nói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khoản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2, 3, 4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bằng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3%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tổng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2/3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1/3.</w:t>
      </w:r>
      <w:bookmarkEnd w:id="18"/>
    </w:p>
    <w:p w14:paraId="7B210A44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9" w:name="dieu_9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9.-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khăn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nói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8.</w:t>
      </w:r>
      <w:bookmarkEnd w:id="19"/>
    </w:p>
    <w:p w14:paraId="3D93C7E4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0" w:name="dieu_10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10.-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nghỉ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hưu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10%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hưu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203-HĐBT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28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1988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20"/>
    </w:p>
    <w:p w14:paraId="696852F6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1" w:name="dieu_1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11.-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1"/>
    </w:p>
    <w:p w14:paraId="62439F1A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2" w:name="dieu_12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12.-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thay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2"/>
    </w:p>
    <w:p w14:paraId="573B8C53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3" w:name="chuong_3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3:</w:t>
      </w:r>
      <w:bookmarkEnd w:id="23"/>
    </w:p>
    <w:p w14:paraId="22832ADD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4" w:name="chuong_3_name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QUYỀN VÀ TRÁCH NHIỆM CUẢ CÁC BÊN THAM GIA BAỎ HIỂM Y TẾ</w:t>
      </w:r>
      <w:bookmarkEnd w:id="24"/>
    </w:p>
    <w:p w14:paraId="1D102A8B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5" w:name="dieu_13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13.</w:t>
      </w:r>
      <w:bookmarkEnd w:id="25"/>
    </w:p>
    <w:p w14:paraId="103CCA33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6" w:name="khoan_1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26"/>
    </w:p>
    <w:p w14:paraId="0725C6BF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F46340D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cũng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47A612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EBAE81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366953E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1785219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FF27C79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49DFD4F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7" w:name="dieu_14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14.</w:t>
      </w:r>
      <w:bookmarkEnd w:id="27"/>
    </w:p>
    <w:p w14:paraId="3C0B80E3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28" w:name="dieu_14_name"/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28"/>
    </w:p>
    <w:p w14:paraId="205C5F5B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2C2E633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9" w:name="khoan_2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Yêu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cầu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làm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rõ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29"/>
    </w:p>
    <w:p w14:paraId="5A05F89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chuyên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môn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21E65F7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Huỷ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33A758B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4BC33E9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3202006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0" w:name="khoan_3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đảm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yêu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cầu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phục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tốt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30"/>
    </w:p>
    <w:p w14:paraId="427970BA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1" w:name="khoan_5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c)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nào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thì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Nam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hướng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dẫn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31"/>
    </w:p>
    <w:p w14:paraId="47E674A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d)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15DF6A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528E0EA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2" w:name="dieu_15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15.</w:t>
      </w:r>
      <w:bookmarkEnd w:id="32"/>
    </w:p>
    <w:p w14:paraId="7C495123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33" w:name="dieu_15_name"/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33"/>
    </w:p>
    <w:p w14:paraId="23BAADA4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4" w:name="khoan_7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toán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lần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ngoại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trú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trú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tuỳ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loại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từng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gian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hướng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dẫn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bao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gồm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:</w:t>
      </w:r>
      <w:bookmarkEnd w:id="34"/>
    </w:p>
    <w:p w14:paraId="4BA44538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máu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xét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chiếu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phim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Xquang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phẫu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thuật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v.v...</w:t>
      </w:r>
    </w:p>
    <w:p w14:paraId="78004A9C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vật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hao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3B37A3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-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thầy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0D2308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huỷ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A9C430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7C3F573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kê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3AC31EE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hướng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dẫn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0043DF7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những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DCA2A02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vũ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FBA8389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5" w:name="dieu_16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16.-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nhưng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say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rượu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ma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tuý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lây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qua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5"/>
    </w:p>
    <w:p w14:paraId="315525DE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6" w:name="dieu_17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17.-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áp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36"/>
    </w:p>
    <w:p w14:paraId="2A9A7C4F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7" w:name="khoan_4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1.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Những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Nhà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ngân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-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binh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mục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loại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37"/>
    </w:p>
    <w:p w14:paraId="039FA132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dưỡng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DF79B03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hồi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tạo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tay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mắt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răng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...</w:t>
      </w:r>
    </w:p>
    <w:p w14:paraId="3F027D22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ngoài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khoẻ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chọn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876049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tật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bẩm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sinh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D85AFAE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6.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Dịch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CB173E8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7. Tai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tai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tai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chiến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tai.</w:t>
      </w:r>
    </w:p>
    <w:p w14:paraId="3EB89958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khuyến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khích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DFADCB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8" w:name="chuong_4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4:</w:t>
      </w:r>
      <w:bookmarkEnd w:id="38"/>
    </w:p>
    <w:p w14:paraId="021B2303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39" w:name="chuong_4_name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SỬ DỤNG THẺ BAỎ HIỂM Y TẾ VÀ QUỸ BAỎ HIỂM Y TẾ</w:t>
      </w:r>
      <w:bookmarkEnd w:id="39"/>
    </w:p>
    <w:p w14:paraId="661ACA88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0" w:name="dieu_18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18.-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trên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nước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nói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40"/>
    </w:p>
    <w:p w14:paraId="2CD8B633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1" w:name="dieu_19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19.-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30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41"/>
    </w:p>
    <w:p w14:paraId="10D29780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A0ABC39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đặc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8E3D5CA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+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1/2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8D5C42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+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3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5191A74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Nghiêm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F18C31C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2" w:name="dieu_20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lastRenderedPageBreak/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20.-</w:t>
      </w:r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42"/>
    </w:p>
    <w:p w14:paraId="5401E37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77FFAFC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Nguồn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nói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3.</w:t>
      </w:r>
    </w:p>
    <w:p w14:paraId="33CC7C93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- 20%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sóc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khỏe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đầu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46D3E3E0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+ 15%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9D9E55C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+ 5%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740E438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- 80%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802478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3" w:name="khoan_3_20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43"/>
    </w:p>
    <w:p w14:paraId="1203C732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4" w:name="diem_1_3_20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90%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chữa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bệnh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4"/>
    </w:p>
    <w:p w14:paraId="35FD7419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5" w:name="diem_2_3_20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8%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5"/>
    </w:p>
    <w:p w14:paraId="575BBFFE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6" w:name="diem_3_3_20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c) 2%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46"/>
    </w:p>
    <w:p w14:paraId="75E1561A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- 1,5%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dùng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gặp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rủi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ro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0B113B0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7" w:name="cumtu_1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- 0,5%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7"/>
    </w:p>
    <w:p w14:paraId="044D24AD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8" w:name="dieu_21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21.-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rỗi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chỉ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gửi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tiết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mua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phiếu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suất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.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8"/>
    </w:p>
    <w:p w14:paraId="1E84BD3E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9" w:name="dieu_22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96"/>
        </w:rPr>
        <w:t xml:space="preserve"> 22.</w:t>
      </w:r>
      <w:bookmarkEnd w:id="49"/>
    </w:p>
    <w:p w14:paraId="655CB66F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>1. </w:t>
      </w:r>
      <w:bookmarkStart w:id="50" w:name="dieu_22_name"/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đến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50"/>
    </w:p>
    <w:p w14:paraId="30CFA208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887E15A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nào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đạo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Nam.</w:t>
      </w:r>
    </w:p>
    <w:p w14:paraId="7FDD085E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c)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, (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D96F3B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31066CF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tắc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con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dấu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khoản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riêng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744D6F0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Nam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F6707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4.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7451CFD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5.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tâm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ý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Sở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0175B948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nhánh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quận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nếu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thấy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cần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thiết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C51A872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1" w:name="khoan_6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6.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lập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khác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phép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  <w:shd w:val="clear" w:color="auto" w:fill="FFFF96"/>
        </w:rPr>
        <w:t>.</w:t>
      </w:r>
      <w:bookmarkEnd w:id="51"/>
    </w:p>
    <w:p w14:paraId="03B7D41E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7.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năng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thống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E513271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2" w:name="dieu_23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23.-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lập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2"/>
    </w:p>
    <w:p w14:paraId="4C08E95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1.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14:paraId="0CEC66F4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1/3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cùng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ra,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gồm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biểu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43668E5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1/3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doanh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trọng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cao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662F342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lastRenderedPageBreak/>
        <w:t xml:space="preserve">c) 1/3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đoàn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lao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động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nông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D1AEB30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1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3CBD83D4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2.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D772B5D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đúng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triển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C77655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2139C21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tỷ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hòa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lãnh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thổ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55598490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d)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tượng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tham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nguyện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ở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phương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kinh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xã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đảm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toàn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63F7BB3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e)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đốc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2C7977BE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3.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F37536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a)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họp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mỗi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lần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78E47381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b)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1/2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viên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yêu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cầu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họp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bất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6F30025D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c)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Hội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FD79635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3" w:name="chuong_5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Chương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5:</w:t>
      </w:r>
      <w:bookmarkEnd w:id="53"/>
    </w:p>
    <w:p w14:paraId="2CAA42CD" w14:textId="77777777" w:rsidR="005B152E" w:rsidRPr="005B152E" w:rsidRDefault="005B152E" w:rsidP="005B152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54" w:name="chuong_5_name"/>
      <w:r w:rsidRPr="005B152E">
        <w:rPr>
          <w:rFonts w:ascii="Arial" w:eastAsia="Times New Roman" w:hAnsi="Arial" w:cs="Arial"/>
          <w:b/>
          <w:bCs/>
          <w:color w:val="000000"/>
          <w:sz w:val="24"/>
          <w:szCs w:val="24"/>
        </w:rPr>
        <w:t>GIẢI QUYẾT KHIẾU NẠI VÀ XỬ LÝ VI PHẠM</w:t>
      </w:r>
      <w:bookmarkEnd w:id="54"/>
    </w:p>
    <w:p w14:paraId="1AD17A42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5" w:name="dieu_24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24.-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Tranh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chấp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do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quản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giải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quyết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5"/>
    </w:p>
    <w:p w14:paraId="714BE9E6" w14:textId="77777777" w:rsidR="005B152E" w:rsidRPr="005B152E" w:rsidRDefault="005B152E" w:rsidP="005B152E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6" w:name="dieu_25"/>
      <w:proofErr w:type="spellStart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25.-</w:t>
      </w:r>
      <w:r w:rsidRPr="005B152E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đóng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thẻ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dụng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quỹ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thực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hiện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khác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lệ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tùy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vi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phạm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sẽ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xử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phạt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bồi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thường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thiệt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hại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bị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cứu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hình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pháp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luật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56"/>
    </w:p>
    <w:p w14:paraId="0859180A" w14:textId="77777777" w:rsidR="005B152E" w:rsidRPr="005B152E" w:rsidRDefault="005B152E" w:rsidP="005B152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Người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sự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hiểm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y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tế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khen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5B152E">
        <w:rPr>
          <w:rFonts w:ascii="Arial" w:eastAsia="Times New Roman" w:hAnsi="Arial" w:cs="Arial"/>
          <w:color w:val="000000"/>
          <w:sz w:val="18"/>
          <w:szCs w:val="18"/>
        </w:rPr>
        <w:t>thưởng</w:t>
      </w:r>
      <w:proofErr w:type="spellEnd"/>
      <w:r w:rsidRPr="005B152E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AEEFE01" w14:textId="77777777" w:rsidR="00B75D57" w:rsidRDefault="00B75D57">
      <w:bookmarkStart w:id="57" w:name="_GoBack"/>
      <w:bookmarkEnd w:id="57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52E"/>
    <w:rsid w:val="005B152E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2797"/>
  <w15:chartTrackingRefBased/>
  <w15:docId w15:val="{35AFF23C-ECB7-4FE4-AAC4-BD59418E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152E"/>
    <w:rPr>
      <w:b/>
      <w:bCs/>
    </w:rPr>
  </w:style>
  <w:style w:type="character" w:customStyle="1" w:styleId="msonormal0">
    <w:name w:val="msonormal0"/>
    <w:basedOn w:val="DefaultParagraphFont"/>
    <w:rsid w:val="005B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1977</Words>
  <Characters>11272</Characters>
  <Application>Microsoft Office Word</Application>
  <DocSecurity>0</DocSecurity>
  <Lines>93</Lines>
  <Paragraphs>26</Paragraphs>
  <ScaleCrop>false</ScaleCrop>
  <Company/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2022-07-21T03:21:00Z</dcterms:created>
  <dcterms:modified xsi:type="dcterms:W3CDTF">2022-07-21T03:21:00Z</dcterms:modified>
</cp:coreProperties>
</file>