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shd w:val="clear" w:color="auto" w:fill="FFFFFF"/>
        <w:tblCellMar>
          <w:left w:w="0" w:type="dxa"/>
          <w:right w:w="0" w:type="dxa"/>
        </w:tblCellMar>
        <w:tblLook w:val="04A0" w:firstRow="1" w:lastRow="0" w:firstColumn="1" w:lastColumn="0" w:noHBand="0" w:noVBand="1"/>
      </w:tblPr>
      <w:tblGrid>
        <w:gridCol w:w="2219"/>
        <w:gridCol w:w="7135"/>
      </w:tblGrid>
      <w:tr w:rsidR="006B7F96" w:rsidRPr="006B7F96" w14:paraId="5BB50F6B" w14:textId="77777777" w:rsidTr="006B7F96">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75A13EEE" w14:textId="77777777" w:rsidR="006B7F96" w:rsidRPr="006B7F96" w:rsidRDefault="006B7F96" w:rsidP="006B7F96">
            <w:pPr>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b/>
                <w:bCs/>
                <w:color w:val="212529"/>
                <w:sz w:val="21"/>
                <w:szCs w:val="21"/>
              </w:rPr>
              <w:t>CHÍNH PHỦ</w:t>
            </w:r>
            <w:r w:rsidRPr="006B7F96">
              <w:rPr>
                <w:rFonts w:ascii="Segoe UI" w:eastAsia="Times New Roman" w:hAnsi="Segoe UI" w:cs="Segoe UI"/>
                <w:b/>
                <w:bCs/>
                <w:color w:val="212529"/>
                <w:sz w:val="21"/>
                <w:szCs w:val="21"/>
              </w:rPr>
              <w:br/>
              <w:t>********</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45F82520" w14:textId="77777777" w:rsidR="006B7F96" w:rsidRPr="006B7F96" w:rsidRDefault="006B7F96" w:rsidP="006B7F96">
            <w:pPr>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b/>
                <w:bCs/>
                <w:color w:val="212529"/>
                <w:sz w:val="21"/>
                <w:szCs w:val="21"/>
              </w:rPr>
              <w:t>CỘNG HOÀ XÃ HỘI CHỦ NGHĨA VIỆT NAM</w:t>
            </w:r>
            <w:r w:rsidRPr="006B7F96">
              <w:rPr>
                <w:rFonts w:ascii="Segoe UI" w:eastAsia="Times New Roman" w:hAnsi="Segoe UI" w:cs="Segoe UI"/>
                <w:b/>
                <w:bCs/>
                <w:color w:val="212529"/>
                <w:sz w:val="21"/>
                <w:szCs w:val="21"/>
              </w:rPr>
              <w:br/>
              <w:t>Độc lập - Tự do - Hạnh phúc</w:t>
            </w:r>
            <w:r w:rsidRPr="006B7F96">
              <w:rPr>
                <w:rFonts w:ascii="Segoe UI" w:eastAsia="Times New Roman" w:hAnsi="Segoe UI" w:cs="Segoe UI"/>
                <w:b/>
                <w:bCs/>
                <w:color w:val="212529"/>
                <w:sz w:val="21"/>
                <w:szCs w:val="21"/>
              </w:rPr>
              <w:br/>
              <w:t>********</w:t>
            </w:r>
          </w:p>
        </w:tc>
      </w:tr>
      <w:tr w:rsidR="006B7F96" w:rsidRPr="006B7F96" w14:paraId="7C5330DC" w14:textId="77777777" w:rsidTr="006B7F96">
        <w:tc>
          <w:tcPr>
            <w:tcW w:w="115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4C1D710F" w14:textId="77777777" w:rsidR="006B7F96" w:rsidRPr="006B7F96" w:rsidRDefault="006B7F96" w:rsidP="006B7F96">
            <w:pPr>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Số: 51-CP</w:t>
            </w:r>
          </w:p>
        </w:tc>
        <w:tc>
          <w:tcPr>
            <w:tcW w:w="3700" w:type="pct"/>
            <w:tcBorders>
              <w:top w:val="single" w:sz="2" w:space="0" w:color="auto"/>
              <w:left w:val="single" w:sz="2" w:space="0" w:color="auto"/>
              <w:bottom w:val="single" w:sz="2" w:space="0" w:color="auto"/>
              <w:right w:val="single" w:sz="2" w:space="0" w:color="auto"/>
            </w:tcBorders>
            <w:shd w:val="clear" w:color="auto" w:fill="FFFFFF"/>
            <w:tcMar>
              <w:top w:w="57" w:type="dxa"/>
              <w:left w:w="108" w:type="dxa"/>
              <w:bottom w:w="57" w:type="dxa"/>
              <w:right w:w="108" w:type="dxa"/>
            </w:tcMar>
            <w:hideMark/>
          </w:tcPr>
          <w:p w14:paraId="20872996" w14:textId="77777777" w:rsidR="006B7F96" w:rsidRPr="006B7F96" w:rsidRDefault="006B7F96" w:rsidP="006B7F96">
            <w:pPr>
              <w:spacing w:before="120" w:after="120" w:line="240" w:lineRule="auto"/>
              <w:jc w:val="right"/>
              <w:rPr>
                <w:rFonts w:ascii="Segoe UI" w:eastAsia="Times New Roman" w:hAnsi="Segoe UI" w:cs="Segoe UI"/>
                <w:color w:val="212529"/>
                <w:sz w:val="21"/>
                <w:szCs w:val="21"/>
              </w:rPr>
            </w:pPr>
            <w:r w:rsidRPr="006B7F96">
              <w:rPr>
                <w:rFonts w:ascii="Segoe UI" w:eastAsia="Times New Roman" w:hAnsi="Segoe UI" w:cs="Segoe UI"/>
                <w:i/>
                <w:iCs/>
                <w:color w:val="212529"/>
                <w:sz w:val="21"/>
                <w:szCs w:val="21"/>
              </w:rPr>
              <w:t>Hà Nội, ngày 10 tháng 8 năm 1993</w:t>
            </w:r>
          </w:p>
        </w:tc>
      </w:tr>
    </w:tbl>
    <w:p w14:paraId="1E86722B" w14:textId="77777777" w:rsidR="006B7F96" w:rsidRPr="006B7F96" w:rsidRDefault="006B7F96" w:rsidP="006B7F96">
      <w:pPr>
        <w:shd w:val="clear" w:color="auto" w:fill="FFFFFF"/>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b/>
          <w:bCs/>
          <w:color w:val="212529"/>
          <w:sz w:val="28"/>
          <w:szCs w:val="28"/>
        </w:rPr>
        <w:t> </w:t>
      </w:r>
    </w:p>
    <w:p w14:paraId="26D6940B" w14:textId="77777777" w:rsidR="006B7F96" w:rsidRPr="006B7F96" w:rsidRDefault="006B7F96" w:rsidP="006B7F96">
      <w:pPr>
        <w:shd w:val="clear" w:color="auto" w:fill="FFFFFF"/>
        <w:spacing w:before="120" w:after="120" w:line="240" w:lineRule="auto"/>
        <w:jc w:val="center"/>
        <w:rPr>
          <w:rFonts w:ascii="Segoe UI" w:eastAsia="Times New Roman" w:hAnsi="Segoe UI" w:cs="Segoe UI"/>
          <w:color w:val="212529"/>
          <w:sz w:val="21"/>
          <w:szCs w:val="21"/>
        </w:rPr>
      </w:pPr>
      <w:bookmarkStart w:id="0" w:name="loai_1"/>
      <w:r w:rsidRPr="006B7F96">
        <w:rPr>
          <w:rFonts w:ascii="Segoe UI" w:eastAsia="Times New Roman" w:hAnsi="Segoe UI" w:cs="Segoe UI"/>
          <w:b/>
          <w:bCs/>
          <w:color w:val="212529"/>
          <w:sz w:val="24"/>
          <w:szCs w:val="24"/>
        </w:rPr>
        <w:t>NGHỊ ĐỊNH</w:t>
      </w:r>
      <w:bookmarkEnd w:id="0"/>
    </w:p>
    <w:p w14:paraId="10FA3B39" w14:textId="77777777" w:rsidR="006B7F96" w:rsidRPr="006B7F96" w:rsidRDefault="006B7F96" w:rsidP="006B7F96">
      <w:pPr>
        <w:shd w:val="clear" w:color="auto" w:fill="FFFFFF"/>
        <w:spacing w:before="120" w:after="120" w:line="240" w:lineRule="auto"/>
        <w:jc w:val="center"/>
        <w:rPr>
          <w:rFonts w:ascii="Segoe UI" w:eastAsia="Times New Roman" w:hAnsi="Segoe UI" w:cs="Segoe UI"/>
          <w:color w:val="212529"/>
          <w:sz w:val="21"/>
          <w:szCs w:val="21"/>
        </w:rPr>
      </w:pPr>
      <w:bookmarkStart w:id="1" w:name="loai_1_name"/>
      <w:r w:rsidRPr="006B7F96">
        <w:rPr>
          <w:rFonts w:ascii="Segoe UI" w:eastAsia="Times New Roman" w:hAnsi="Segoe UI" w:cs="Segoe UI"/>
          <w:color w:val="212529"/>
          <w:sz w:val="24"/>
          <w:szCs w:val="24"/>
        </w:rPr>
        <w:t xml:space="preserve">CỦA CHÍNH PHỦ </w:t>
      </w:r>
      <w:proofErr w:type="gramStart"/>
      <w:r w:rsidRPr="006B7F96">
        <w:rPr>
          <w:rFonts w:ascii="Segoe UI" w:eastAsia="Times New Roman" w:hAnsi="Segoe UI" w:cs="Segoe UI"/>
          <w:color w:val="212529"/>
          <w:sz w:val="24"/>
          <w:szCs w:val="24"/>
        </w:rPr>
        <w:t>SỐ  51</w:t>
      </w:r>
      <w:proofErr w:type="gramEnd"/>
      <w:r w:rsidRPr="006B7F96">
        <w:rPr>
          <w:rFonts w:ascii="Segoe UI" w:eastAsia="Times New Roman" w:hAnsi="Segoe UI" w:cs="Segoe UI"/>
          <w:color w:val="212529"/>
          <w:sz w:val="24"/>
          <w:szCs w:val="24"/>
        </w:rPr>
        <w:t>-CP NGÀY 10-8-1993 VỀ VIỆC THÀNH LẬP CỤC QUẢN LÝ NHÀ TRỰC THUỘC BỘ XÂY DỰNG</w:t>
      </w:r>
      <w:bookmarkEnd w:id="1"/>
    </w:p>
    <w:p w14:paraId="6ABEA949" w14:textId="77777777" w:rsidR="006B7F96" w:rsidRPr="006B7F96" w:rsidRDefault="006B7F96" w:rsidP="006B7F96">
      <w:pPr>
        <w:shd w:val="clear" w:color="auto" w:fill="FFFFFF"/>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b/>
          <w:bCs/>
          <w:color w:val="212529"/>
          <w:sz w:val="24"/>
          <w:szCs w:val="24"/>
        </w:rPr>
        <w:t>CHÍNH PHỦ</w:t>
      </w:r>
    </w:p>
    <w:p w14:paraId="2F713C79"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i/>
          <w:iCs/>
          <w:color w:val="212529"/>
          <w:sz w:val="21"/>
          <w:szCs w:val="21"/>
        </w:rPr>
        <w:t>Căn cứ Luật tổ chức Chính phủ ngày 30 tháng 9 năm 1992;</w:t>
      </w:r>
      <w:r w:rsidRPr="006B7F96">
        <w:rPr>
          <w:rFonts w:ascii="Segoe UI" w:eastAsia="Times New Roman" w:hAnsi="Segoe UI" w:cs="Segoe UI"/>
          <w:i/>
          <w:iCs/>
          <w:color w:val="212529"/>
          <w:sz w:val="21"/>
          <w:szCs w:val="21"/>
        </w:rPr>
        <w:br/>
        <w:t>Xét đề nghị của Bộ trưởng Bộ Xây dựng và Bộ trưởng, Trưởng ban Ban Tổ chức - Cán bộ Chính phủ,</w:t>
      </w:r>
    </w:p>
    <w:p w14:paraId="2629B777" w14:textId="77777777" w:rsidR="006B7F96" w:rsidRPr="006B7F96" w:rsidRDefault="006B7F96" w:rsidP="006B7F96">
      <w:pPr>
        <w:shd w:val="clear" w:color="auto" w:fill="FFFFFF"/>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b/>
          <w:bCs/>
          <w:color w:val="212529"/>
          <w:sz w:val="24"/>
          <w:szCs w:val="24"/>
        </w:rPr>
        <w:t>NGHỊ ĐỊNH:</w:t>
      </w:r>
    </w:p>
    <w:p w14:paraId="29700AFA"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bookmarkStart w:id="2" w:name="dieu_1"/>
      <w:r w:rsidRPr="006B7F96">
        <w:rPr>
          <w:rFonts w:ascii="Segoe UI" w:eastAsia="Times New Roman" w:hAnsi="Segoe UI" w:cs="Segoe UI"/>
          <w:b/>
          <w:bCs/>
          <w:color w:val="212529"/>
          <w:sz w:val="21"/>
          <w:szCs w:val="21"/>
        </w:rPr>
        <w:t>Điều 1.-</w:t>
      </w:r>
      <w:r w:rsidRPr="006B7F96">
        <w:rPr>
          <w:rFonts w:ascii="Segoe UI" w:eastAsia="Times New Roman" w:hAnsi="Segoe UI" w:cs="Segoe UI"/>
          <w:color w:val="212529"/>
          <w:sz w:val="21"/>
          <w:szCs w:val="21"/>
        </w:rPr>
        <w:t> Nay thành Cục Quản lý nhà trực thuộc Bộ Xây dựng.</w:t>
      </w:r>
      <w:bookmarkEnd w:id="2"/>
    </w:p>
    <w:p w14:paraId="4A61DBE1"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Cục Quản lý là cơ quan giúp Bộ trưởng Bộ Xây dựng thực hiện chức năng quản lý Nhà nước về nhà trong cả nước, và quản lý việc sử dụng nhà làm việc, nhà công vụ, nhà khách, hội trường, nhà bảo tàng thuộc sở hữu Nhà nước do cơ quan Nhà nước, cơ quan Đảng, đoàn thể và tổ chức xã hội ở Trung ương đang sử dụng.</w:t>
      </w:r>
    </w:p>
    <w:p w14:paraId="273D3662"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bookmarkStart w:id="3" w:name="dieu_2"/>
      <w:r w:rsidRPr="006B7F96">
        <w:rPr>
          <w:rFonts w:ascii="Segoe UI" w:eastAsia="Times New Roman" w:hAnsi="Segoe UI" w:cs="Segoe UI"/>
          <w:b/>
          <w:bCs/>
          <w:color w:val="212529"/>
          <w:sz w:val="21"/>
          <w:szCs w:val="21"/>
        </w:rPr>
        <w:t>Điều 2.-</w:t>
      </w:r>
      <w:r w:rsidRPr="006B7F96">
        <w:rPr>
          <w:rFonts w:ascii="Segoe UI" w:eastAsia="Times New Roman" w:hAnsi="Segoe UI" w:cs="Segoe UI"/>
          <w:color w:val="212529"/>
          <w:sz w:val="21"/>
          <w:szCs w:val="21"/>
        </w:rPr>
        <w:t> Cục Quản lý nhà có nhiệm vụ:</w:t>
      </w:r>
      <w:bookmarkEnd w:id="3"/>
    </w:p>
    <w:p w14:paraId="725C19CD"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1. Xây dựng chiến lược, phương hướng, kế hoạch phát triển nhà trong cả nước và dự án vùng trọng điểm phát triển nhà để Bộ Xây dựng trình Chính phủ quyết định;</w:t>
      </w:r>
    </w:p>
    <w:p w14:paraId="5256C342"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 xml:space="preserve">2. Xây dựng dự án luật, chính sách, chế độ về quản lý nhà để để Bộ Xây dựng trình Chính phủ, hoặc Bộ Xây dựng ban hành theo thẩm </w:t>
      </w:r>
      <w:proofErr w:type="gramStart"/>
      <w:r w:rsidRPr="006B7F96">
        <w:rPr>
          <w:rFonts w:ascii="Segoe UI" w:eastAsia="Times New Roman" w:hAnsi="Segoe UI" w:cs="Segoe UI"/>
          <w:color w:val="212529"/>
          <w:sz w:val="21"/>
          <w:szCs w:val="21"/>
        </w:rPr>
        <w:t>quyền ;</w:t>
      </w:r>
      <w:proofErr w:type="gramEnd"/>
    </w:p>
    <w:p w14:paraId="658DA97E"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3. Hướng dẫn, kiểm tra việc thực hiện luật pháp, chính sách, chế độ của Nhà nước và của Bộ Xây dựng về quản lý và sử dụng nhà;</w:t>
      </w:r>
    </w:p>
    <w:p w14:paraId="06AC43E8"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4. Đối với nhà làm việc, nhà công vụ, nhà khách, hội trường, nhà bảo tàng thuộc sở hữu Nhà nước mà các cơ quan Nhà nước, cơ quan Đảng, đoàn thể và tổ chức xã hội ở Trung ương đang sử dụng, Cục quản lý nhà có nhiệm vụ:</w:t>
      </w:r>
    </w:p>
    <w:p w14:paraId="19B5DBCC"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Tổ chức quản lý thống nhất hồ sơ, mục đích sử dụng;</w:t>
      </w:r>
    </w:p>
    <w:p w14:paraId="70BDE3A5"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Đề xuất việc điều chỉnh, chuyển đổi việc sử dụng các loại nhà nói trên để Bộ trưởng Bộ Xây dựng trình Thủ tướng Chính phủ quyết định;</w:t>
      </w:r>
    </w:p>
    <w:p w14:paraId="3FD3162B"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 Hướng dẫn, kiểm tra các cơ quan trong việc thực hiện chính sách, chế độ của Nhà nước về quản lý và sử dụng nhà, về việc sửa chữa, nâng cấp, cải tạo hoặc xây dựng mới các loại nhà nói trên.</w:t>
      </w:r>
    </w:p>
    <w:p w14:paraId="200658BF"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bookmarkStart w:id="4" w:name="dieu_3"/>
      <w:r w:rsidRPr="006B7F96">
        <w:rPr>
          <w:rFonts w:ascii="Segoe UI" w:eastAsia="Times New Roman" w:hAnsi="Segoe UI" w:cs="Segoe UI"/>
          <w:b/>
          <w:bCs/>
          <w:color w:val="212529"/>
          <w:sz w:val="21"/>
          <w:szCs w:val="21"/>
        </w:rPr>
        <w:t>Điều 3.-</w:t>
      </w:r>
      <w:r w:rsidRPr="006B7F96">
        <w:rPr>
          <w:rFonts w:ascii="Segoe UI" w:eastAsia="Times New Roman" w:hAnsi="Segoe UI" w:cs="Segoe UI"/>
          <w:color w:val="212529"/>
          <w:sz w:val="21"/>
          <w:szCs w:val="21"/>
        </w:rPr>
        <w:t> Cục Quản lý nhà có một Cục trưởng, 1-2 Phó cục trưởng.</w:t>
      </w:r>
      <w:bookmarkEnd w:id="4"/>
    </w:p>
    <w:p w14:paraId="2E876B28"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Cục trưởng và Phó Cục trưởng do Bộ trưởng Bộ Xây dựng bổ nhiệm, miễn nhiệm.</w:t>
      </w:r>
    </w:p>
    <w:p w14:paraId="1C26BA38"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lastRenderedPageBreak/>
        <w:t>Căn cứ nhiệm vụ qui định tại Điều 1 và Điều 2, Bộ trưởng Bộ Xây dựng qui định cơ cấu tổ chức và nhiệm vụ, quyền hạn cụ thể của Cục Quản lý nhà.</w:t>
      </w:r>
    </w:p>
    <w:p w14:paraId="14C2C446"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bookmarkStart w:id="5" w:name="dieu_4"/>
      <w:r w:rsidRPr="006B7F96">
        <w:rPr>
          <w:rFonts w:ascii="Segoe UI" w:eastAsia="Times New Roman" w:hAnsi="Segoe UI" w:cs="Segoe UI"/>
          <w:b/>
          <w:bCs/>
          <w:color w:val="212529"/>
          <w:sz w:val="21"/>
          <w:szCs w:val="21"/>
        </w:rPr>
        <w:t>Điều 4.-</w:t>
      </w:r>
      <w:r w:rsidRPr="006B7F96">
        <w:rPr>
          <w:rFonts w:ascii="Segoe UI" w:eastAsia="Times New Roman" w:hAnsi="Segoe UI" w:cs="Segoe UI"/>
          <w:color w:val="212529"/>
          <w:sz w:val="21"/>
          <w:szCs w:val="21"/>
        </w:rPr>
        <w:t> Cục Quản lý nhà có tư cách pháp nhân, có con dấu riêng, được mở tài khoản tại Kho bạc Nhà nước, được cấp kinh phí sự nghiệp, biên chế của Cục Quản lý nhà trong tổng số biên chế của Bộ Xây dựng.</w:t>
      </w:r>
      <w:bookmarkEnd w:id="5"/>
    </w:p>
    <w:p w14:paraId="0EF06150"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bookmarkStart w:id="6" w:name="dieu_5"/>
      <w:r w:rsidRPr="006B7F96">
        <w:rPr>
          <w:rFonts w:ascii="Segoe UI" w:eastAsia="Times New Roman" w:hAnsi="Segoe UI" w:cs="Segoe UI"/>
          <w:b/>
          <w:bCs/>
          <w:color w:val="212529"/>
          <w:sz w:val="21"/>
          <w:szCs w:val="21"/>
        </w:rPr>
        <w:t>Điều 5.-</w:t>
      </w:r>
      <w:r w:rsidRPr="006B7F96">
        <w:rPr>
          <w:rFonts w:ascii="Segoe UI" w:eastAsia="Times New Roman" w:hAnsi="Segoe UI" w:cs="Segoe UI"/>
          <w:color w:val="212529"/>
          <w:sz w:val="21"/>
          <w:szCs w:val="21"/>
        </w:rPr>
        <w:t> Nghị định này có hiệu lực từ ngày ban hành. Các qui định trước đây trái với Nghị định này đều bãi bỏ.</w:t>
      </w:r>
      <w:bookmarkEnd w:id="6"/>
    </w:p>
    <w:p w14:paraId="36D1F029"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Bộ trưởng Bộ Xây dựng, các Bộ trưởng, Thủ trưởng cơ quan ngang Bộ, Thủ trưởng cơ quan thuộc Chính phủ, Chủ tịch Uỷ ban Nhân dân các tỉnh, thành phố trực thuộc Trung ương, chịu trách nhiệm thi hành Nghị định này.</w:t>
      </w:r>
    </w:p>
    <w:p w14:paraId="2EF73448" w14:textId="77777777" w:rsidR="006B7F96" w:rsidRPr="006B7F96" w:rsidRDefault="006B7F96" w:rsidP="006B7F96">
      <w:pPr>
        <w:shd w:val="clear" w:color="auto" w:fill="FFFFFF"/>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 </w:t>
      </w:r>
    </w:p>
    <w:tbl>
      <w:tblPr>
        <w:tblW w:w="0" w:type="auto"/>
        <w:tblInd w:w="-126" w:type="dxa"/>
        <w:shd w:val="clear" w:color="auto" w:fill="FFFFFF"/>
        <w:tblCellMar>
          <w:left w:w="0" w:type="dxa"/>
          <w:right w:w="0" w:type="dxa"/>
        </w:tblCellMar>
        <w:tblLook w:val="04A0" w:firstRow="1" w:lastRow="0" w:firstColumn="1" w:lastColumn="0" w:noHBand="0" w:noVBand="1"/>
      </w:tblPr>
      <w:tblGrid>
        <w:gridCol w:w="4365"/>
        <w:gridCol w:w="4283"/>
      </w:tblGrid>
      <w:tr w:rsidR="006B7F96" w:rsidRPr="006B7F96" w14:paraId="2BED5B7D" w14:textId="77777777" w:rsidTr="006B7F96">
        <w:tc>
          <w:tcPr>
            <w:tcW w:w="4365"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5C9D6A66" w14:textId="77777777" w:rsidR="006B7F96" w:rsidRPr="006B7F96" w:rsidRDefault="006B7F96" w:rsidP="006B7F96">
            <w:pPr>
              <w:spacing w:before="120" w:after="120" w:line="240" w:lineRule="auto"/>
              <w:rPr>
                <w:rFonts w:ascii="Segoe UI" w:eastAsia="Times New Roman" w:hAnsi="Segoe UI" w:cs="Segoe UI"/>
                <w:color w:val="212529"/>
                <w:sz w:val="21"/>
                <w:szCs w:val="21"/>
              </w:rPr>
            </w:pPr>
            <w:r w:rsidRPr="006B7F96">
              <w:rPr>
                <w:rFonts w:ascii="Segoe UI" w:eastAsia="Times New Roman" w:hAnsi="Segoe UI" w:cs="Segoe UI"/>
                <w:b/>
                <w:bCs/>
                <w:color w:val="212529"/>
                <w:sz w:val="21"/>
                <w:szCs w:val="21"/>
              </w:rPr>
              <w:t> </w:t>
            </w:r>
          </w:p>
        </w:tc>
        <w:tc>
          <w:tcPr>
            <w:tcW w:w="4283"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hideMark/>
          </w:tcPr>
          <w:p w14:paraId="1E07A665" w14:textId="77777777" w:rsidR="006B7F96" w:rsidRPr="006B7F96" w:rsidRDefault="006B7F96" w:rsidP="006B7F96">
            <w:pPr>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b/>
                <w:bCs/>
                <w:color w:val="212529"/>
                <w:sz w:val="21"/>
                <w:szCs w:val="21"/>
              </w:rPr>
              <w:t>Võ Văn Kiệt</w:t>
            </w:r>
          </w:p>
          <w:p w14:paraId="26873447" w14:textId="77777777" w:rsidR="006B7F96" w:rsidRPr="006B7F96" w:rsidRDefault="006B7F96" w:rsidP="006B7F96">
            <w:pPr>
              <w:spacing w:before="120" w:after="120" w:line="240" w:lineRule="auto"/>
              <w:jc w:val="center"/>
              <w:rPr>
                <w:rFonts w:ascii="Segoe UI" w:eastAsia="Times New Roman" w:hAnsi="Segoe UI" w:cs="Segoe UI"/>
                <w:color w:val="212529"/>
                <w:sz w:val="21"/>
                <w:szCs w:val="21"/>
              </w:rPr>
            </w:pPr>
            <w:r w:rsidRPr="006B7F96">
              <w:rPr>
                <w:rFonts w:ascii="Segoe UI" w:eastAsia="Times New Roman" w:hAnsi="Segoe UI" w:cs="Segoe UI"/>
                <w:color w:val="212529"/>
                <w:sz w:val="21"/>
                <w:szCs w:val="21"/>
              </w:rPr>
              <w:t>(Đã ký)</w:t>
            </w:r>
          </w:p>
        </w:tc>
      </w:tr>
    </w:tbl>
    <w:p w14:paraId="74E76E14" w14:textId="77777777" w:rsidR="00B75D57" w:rsidRDefault="00B75D57">
      <w:bookmarkStart w:id="7" w:name="_GoBack"/>
      <w:bookmarkEnd w:id="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F96"/>
    <w:rsid w:val="006B7F9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5E0F8"/>
  <w15:chartTrackingRefBased/>
  <w15:docId w15:val="{5D596E06-C4F8-4A06-9AA4-C7E3FFAF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7F9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7F96"/>
    <w:rPr>
      <w:b/>
      <w:bCs/>
    </w:rPr>
  </w:style>
  <w:style w:type="character" w:customStyle="1" w:styleId="msonormal0">
    <w:name w:val="msonormal0"/>
    <w:basedOn w:val="DefaultParagraphFont"/>
    <w:rsid w:val="006B7F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85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2275</Characters>
  <Application>Microsoft Office Word</Application>
  <DocSecurity>0</DocSecurity>
  <Lines>18</Lines>
  <Paragraphs>5</Paragraphs>
  <ScaleCrop>false</ScaleCrop>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2022-07-21T04:34:00Z</dcterms:created>
  <dcterms:modified xsi:type="dcterms:W3CDTF">2022-07-21T04:34:00Z</dcterms:modified>
</cp:coreProperties>
</file>