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9BD5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544EC1" w14:textId="77777777" w:rsidR="00000000" w:rsidRDefault="00000000">
            <w:pPr>
              <w:spacing w:before="120"/>
              <w:jc w:val="center"/>
            </w:pPr>
            <w:r>
              <w:rPr>
                <w:b/>
                <w:bCs/>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5E3EC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55E9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4DFAAF" w14:textId="77777777" w:rsidR="00000000" w:rsidRDefault="00000000">
            <w:pPr>
              <w:spacing w:before="120"/>
              <w:jc w:val="center"/>
            </w:pPr>
            <w:r>
              <w:rPr>
                <w:lang w:val="vi-VN"/>
              </w:rPr>
              <w:t xml:space="preserve">Số: </w:t>
            </w:r>
            <w:r>
              <w:t>64/2022/TT-BTC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96F585" w14:textId="77777777" w:rsidR="00000000" w:rsidRDefault="00000000">
            <w:pPr>
              <w:spacing w:before="120"/>
              <w:jc w:val="right"/>
            </w:pPr>
            <w:r>
              <w:rPr>
                <w:i/>
                <w:iCs/>
              </w:rPr>
              <w:t>Hà Nội</w:t>
            </w:r>
            <w:r>
              <w:rPr>
                <w:i/>
                <w:iCs/>
                <w:lang w:val="vi-VN"/>
              </w:rPr>
              <w:t xml:space="preserve">, ngày </w:t>
            </w:r>
            <w:r>
              <w:rPr>
                <w:i/>
                <w:iCs/>
              </w:rPr>
              <w:t>25</w:t>
            </w:r>
            <w:r>
              <w:rPr>
                <w:i/>
                <w:iCs/>
                <w:lang w:val="vi-VN"/>
              </w:rPr>
              <w:t xml:space="preserve"> tháng </w:t>
            </w:r>
            <w:r>
              <w:rPr>
                <w:i/>
                <w:iCs/>
              </w:rPr>
              <w:t>10</w:t>
            </w:r>
            <w:r>
              <w:rPr>
                <w:i/>
                <w:iCs/>
                <w:lang w:val="vi-VN"/>
              </w:rPr>
              <w:t xml:space="preserve"> năm </w:t>
            </w:r>
            <w:r>
              <w:rPr>
                <w:i/>
                <w:iCs/>
              </w:rPr>
              <w:t>2022</w:t>
            </w:r>
          </w:p>
        </w:tc>
      </w:tr>
    </w:tbl>
    <w:p w14:paraId="1FE6DDAC" w14:textId="77777777" w:rsidR="00000000" w:rsidRDefault="00000000">
      <w:pPr>
        <w:spacing w:before="120" w:after="280" w:afterAutospacing="1"/>
      </w:pPr>
      <w:r>
        <w:t> </w:t>
      </w:r>
    </w:p>
    <w:p w14:paraId="76D2C222" w14:textId="77777777" w:rsidR="00000000" w:rsidRDefault="00000000">
      <w:pPr>
        <w:spacing w:before="120" w:after="280" w:afterAutospacing="1"/>
        <w:jc w:val="center"/>
      </w:pPr>
      <w:r>
        <w:rPr>
          <w:b/>
          <w:bCs/>
          <w:lang w:val="vi-VN"/>
        </w:rPr>
        <w:t>THÔNG TƯ</w:t>
      </w:r>
    </w:p>
    <w:p w14:paraId="0E6E8A77" w14:textId="77777777" w:rsidR="00000000" w:rsidRDefault="00000000">
      <w:pPr>
        <w:spacing w:before="120" w:after="280" w:afterAutospacing="1"/>
        <w:jc w:val="center"/>
      </w:pPr>
      <w:r>
        <w:rPr>
          <w:lang w:val="vi-VN"/>
        </w:rPr>
        <w:t>BAN HÀNH SỬA ĐỔI 2: 2022 QCVN 08: 2018/BTC QUY CHUẨN KỸ THUẬT QUỐC GIA ĐỐI VỚI XUỒNG (TÀU) CAO TỐC DỰ TRỮ QUỐC GIA</w:t>
      </w:r>
    </w:p>
    <w:p w14:paraId="41C2B14D" w14:textId="77777777" w:rsidR="00000000" w:rsidRDefault="00000000">
      <w:pPr>
        <w:spacing w:before="120" w:after="280" w:afterAutospacing="1"/>
      </w:pPr>
      <w:r>
        <w:rPr>
          <w:i/>
          <w:iCs/>
          <w:lang w:val="vi-VN"/>
        </w:rPr>
        <w:t>Căn cứ Luật Tiêu chu</w:t>
      </w:r>
      <w:r>
        <w:rPr>
          <w:i/>
          <w:iCs/>
        </w:rPr>
        <w:t>ẩ</w:t>
      </w:r>
      <w:r>
        <w:rPr>
          <w:i/>
          <w:iCs/>
          <w:lang w:val="vi-VN"/>
        </w:rPr>
        <w:t>n và Quy chuẩn kỹ thuật ngày 29 tháng 6 n</w:t>
      </w:r>
      <w:r>
        <w:rPr>
          <w:i/>
          <w:iCs/>
        </w:rPr>
        <w:t>ă</w:t>
      </w:r>
      <w:r>
        <w:rPr>
          <w:i/>
          <w:iCs/>
          <w:lang w:val="vi-VN"/>
        </w:rPr>
        <w:t>m 2006;</w:t>
      </w:r>
    </w:p>
    <w:p w14:paraId="6518A80B" w14:textId="77777777" w:rsidR="00000000" w:rsidRDefault="00000000">
      <w:pPr>
        <w:spacing w:before="120" w:after="280" w:afterAutospacing="1"/>
      </w:pPr>
      <w:r>
        <w:rPr>
          <w:i/>
          <w:iCs/>
          <w:lang w:val="vi-VN"/>
        </w:rPr>
        <w:t xml:space="preserve">Căn cứ Luật Dự trữ quốc gia ngày 20 tháng </w:t>
      </w:r>
      <w:r>
        <w:rPr>
          <w:i/>
          <w:iCs/>
        </w:rPr>
        <w:t xml:space="preserve">11 </w:t>
      </w:r>
      <w:r>
        <w:rPr>
          <w:i/>
          <w:iCs/>
          <w:lang w:val="vi-VN"/>
        </w:rPr>
        <w:t>năm 2012;</w:t>
      </w:r>
    </w:p>
    <w:p w14:paraId="7DF39C5D" w14:textId="77777777" w:rsidR="00000000" w:rsidRDefault="00000000">
      <w:pPr>
        <w:spacing w:before="120" w:after="280" w:afterAutospacing="1"/>
      </w:pPr>
      <w:r>
        <w:rPr>
          <w:i/>
          <w:iCs/>
          <w:lang w:val="vi-VN"/>
        </w:rPr>
        <w:t>Căn cứ Nghị định s</w:t>
      </w:r>
      <w:r>
        <w:rPr>
          <w:i/>
          <w:iCs/>
        </w:rPr>
        <w:t>ố</w:t>
      </w:r>
      <w:r>
        <w:rPr>
          <w:i/>
          <w:iCs/>
          <w:lang w:val="vi-VN"/>
        </w:rPr>
        <w:t xml:space="preserve"> 127/2007/NĐ-CP ngày 01 tháng 8 năm 2007 của Chính phủ quy định chi tiết thi hành một </w:t>
      </w:r>
      <w:r>
        <w:rPr>
          <w:i/>
          <w:iCs/>
        </w:rPr>
        <w:t xml:space="preserve">số </w:t>
      </w:r>
      <w:r>
        <w:rPr>
          <w:i/>
          <w:iCs/>
          <w:lang w:val="vi-VN"/>
        </w:rPr>
        <w:t xml:space="preserve">điều của Luật Tiêu chuẩn và Quy chuẩn kỹ thuật và Nghị định số 78/2018/NĐ-CP ngày </w:t>
      </w:r>
      <w:r>
        <w:rPr>
          <w:i/>
          <w:iCs/>
        </w:rPr>
        <w:t>1</w:t>
      </w:r>
      <w:r>
        <w:rPr>
          <w:i/>
          <w:iCs/>
          <w:lang w:val="vi-VN"/>
        </w:rPr>
        <w:t xml:space="preserve">6/5/2018 của Chính phủ sửa đổi, bổ sung một số điều của Nghị định số </w:t>
      </w:r>
      <w:r>
        <w:rPr>
          <w:i/>
          <w:iCs/>
        </w:rPr>
        <w:t>1</w:t>
      </w:r>
      <w:r>
        <w:rPr>
          <w:i/>
          <w:iCs/>
          <w:lang w:val="vi-VN"/>
        </w:rPr>
        <w:t>27/2007/NĐ-CP ngày 01/8/2007 của Chính phủ quy định chi tiết thi hành một số điều của Luật Tiêu chuẩn và Quy chuẩn kỹ thuật;</w:t>
      </w:r>
    </w:p>
    <w:p w14:paraId="05C28AFC" w14:textId="77777777" w:rsidR="00000000" w:rsidRDefault="00000000">
      <w:pPr>
        <w:spacing w:before="120" w:after="280" w:afterAutospacing="1"/>
      </w:pPr>
      <w:r>
        <w:rPr>
          <w:i/>
          <w:iCs/>
          <w:lang w:val="vi-VN"/>
        </w:rPr>
        <w:t>Căn cứ Nghị định số 94/2013/NĐ-CP ngày 21 tháng 8 năm 2013 của Chính phủ quy định chi tiết thi hành Luật Dự trữ quốc gia;</w:t>
      </w:r>
    </w:p>
    <w:p w14:paraId="135A87F1"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w:t>
      </w:r>
      <w:r>
        <w:rPr>
          <w:i/>
          <w:iCs/>
        </w:rPr>
        <w:t>ổ</w:t>
      </w:r>
      <w:r>
        <w:rPr>
          <w:i/>
          <w:iCs/>
          <w:lang w:val="vi-VN"/>
        </w:rPr>
        <w:t xml:space="preserve"> ch</w:t>
      </w:r>
      <w:r>
        <w:rPr>
          <w:i/>
          <w:iCs/>
        </w:rPr>
        <w:t>ứ</w:t>
      </w:r>
      <w:r>
        <w:rPr>
          <w:i/>
          <w:iCs/>
          <w:lang w:val="vi-VN"/>
        </w:rPr>
        <w:t>c của Bộ Tài chính;</w:t>
      </w:r>
    </w:p>
    <w:p w14:paraId="131DEA57" w14:textId="77777777" w:rsidR="00000000" w:rsidRDefault="00000000">
      <w:pPr>
        <w:spacing w:before="120" w:after="280" w:afterAutospacing="1"/>
      </w:pPr>
      <w:r>
        <w:rPr>
          <w:i/>
          <w:iCs/>
          <w:lang w:val="vi-VN"/>
        </w:rPr>
        <w:t>Theo đề nghị của T</w:t>
      </w:r>
      <w:r>
        <w:rPr>
          <w:i/>
          <w:iCs/>
        </w:rPr>
        <w:t>ổ</w:t>
      </w:r>
      <w:r>
        <w:rPr>
          <w:i/>
          <w:iCs/>
          <w:lang w:val="vi-VN"/>
        </w:rPr>
        <w:t>ng cục trưởng Tổng cục Dự trữ Nh</w:t>
      </w:r>
      <w:r>
        <w:rPr>
          <w:i/>
          <w:iCs/>
        </w:rPr>
        <w:t xml:space="preserve">à </w:t>
      </w:r>
      <w:r>
        <w:rPr>
          <w:i/>
          <w:iCs/>
          <w:lang w:val="vi-VN"/>
        </w:rPr>
        <w:t>nước;</w:t>
      </w:r>
    </w:p>
    <w:p w14:paraId="7DB3D183" w14:textId="77777777" w:rsidR="00000000" w:rsidRDefault="00000000">
      <w:pPr>
        <w:spacing w:before="120" w:after="280" w:afterAutospacing="1"/>
      </w:pPr>
      <w:r>
        <w:rPr>
          <w:i/>
          <w:iCs/>
          <w:lang w:val="vi-VN"/>
        </w:rPr>
        <w:t>Bộ trưởng Bộ Tài chính ban hành Thông tư ban hành Sửa đổi 2: 2022 QCVN 08: 2018/BTC Quy chu</w:t>
      </w:r>
      <w:r>
        <w:rPr>
          <w:i/>
          <w:iCs/>
        </w:rPr>
        <w:t>ẩ</w:t>
      </w:r>
      <w:r>
        <w:rPr>
          <w:i/>
          <w:iCs/>
          <w:lang w:val="vi-VN"/>
        </w:rPr>
        <w:t xml:space="preserve">n kỹ thuật quốc gia </w:t>
      </w:r>
      <w:r>
        <w:rPr>
          <w:i/>
          <w:iCs/>
        </w:rPr>
        <w:t>đố</w:t>
      </w:r>
      <w:r>
        <w:rPr>
          <w:i/>
          <w:iCs/>
          <w:lang w:val="vi-VN"/>
        </w:rPr>
        <w:t>i với xuồng (tàu) cao t</w:t>
      </w:r>
      <w:r>
        <w:rPr>
          <w:i/>
          <w:iCs/>
        </w:rPr>
        <w:t xml:space="preserve">ốc </w:t>
      </w:r>
      <w:r>
        <w:rPr>
          <w:i/>
          <w:iCs/>
          <w:lang w:val="vi-VN"/>
        </w:rPr>
        <w:t>dự trữ quốc gia như sau:</w:t>
      </w:r>
    </w:p>
    <w:p w14:paraId="76797A7C" w14:textId="77777777" w:rsidR="00000000" w:rsidRDefault="00000000">
      <w:pPr>
        <w:spacing w:before="120" w:after="280" w:afterAutospacing="1"/>
      </w:pPr>
      <w:r>
        <w:rPr>
          <w:b/>
          <w:bCs/>
          <w:lang w:val="vi-VN"/>
        </w:rPr>
        <w:t>Điều 1.</w:t>
      </w:r>
      <w:r>
        <w:rPr>
          <w:lang w:val="vi-VN"/>
        </w:rPr>
        <w:t xml:space="preserve"> Ban hành kèm theo Thông tư này Sửa đổi 2: 2022 QCVN 08: 2018/BTC Quy chuẩn kỹ thuật quốc gia đối với xuồng (tàu) cao tốc dự trữ quốc gia.</w:t>
      </w:r>
    </w:p>
    <w:p w14:paraId="2D5CD677" w14:textId="77777777" w:rsidR="00000000" w:rsidRDefault="00000000">
      <w:pPr>
        <w:spacing w:before="120" w:after="280" w:afterAutospacing="1"/>
      </w:pPr>
      <w:r>
        <w:rPr>
          <w:b/>
          <w:bCs/>
          <w:lang w:val="vi-VN"/>
        </w:rPr>
        <w:t>Điều 2.</w:t>
      </w:r>
      <w:r>
        <w:rPr>
          <w:lang w:val="vi-VN"/>
        </w:rPr>
        <w:t xml:space="preserve"> Thông tư này có hiệu lực k</w:t>
      </w:r>
      <w:r>
        <w:t xml:space="preserve">ể </w:t>
      </w:r>
      <w:r>
        <w:rPr>
          <w:lang w:val="vi-VN"/>
        </w:rPr>
        <w:t>từ ngày 09 tháng 12 năm 2022.</w:t>
      </w:r>
    </w:p>
    <w:p w14:paraId="5D9C70F7" w14:textId="77777777" w:rsidR="00000000" w:rsidRDefault="00000000">
      <w:pPr>
        <w:spacing w:before="120" w:after="280" w:afterAutospacing="1"/>
      </w:pPr>
      <w:r>
        <w:rPr>
          <w:b/>
          <w:bCs/>
          <w:lang w:val="vi-VN"/>
        </w:rPr>
        <w:t>Điều 3.</w:t>
      </w:r>
      <w:r>
        <w:rPr>
          <w:lang w:val="vi-VN"/>
        </w:rPr>
        <w:t xml:space="preserve"> T</w:t>
      </w:r>
      <w:r>
        <w:t>ổ</w:t>
      </w:r>
      <w:r>
        <w:rPr>
          <w:lang w:val="vi-VN"/>
        </w:rPr>
        <w:t>ng cục trưởng Tổng cục Dự tr</w:t>
      </w:r>
      <w:r>
        <w:t xml:space="preserve">ữ </w:t>
      </w:r>
      <w:r>
        <w:rPr>
          <w:lang w:val="vi-VN"/>
        </w:rPr>
        <w:t xml:space="preserve">Nhà nước, Thủ trưởng các cơ quan, tổ chức, cá nhân có liên quan đến hoạt động </w:t>
      </w:r>
      <w:r>
        <w:t>g</w:t>
      </w:r>
      <w:r>
        <w:rPr>
          <w:lang w:val="vi-VN"/>
        </w:rPr>
        <w:t>iao nhận (nhập, xuất), b</w:t>
      </w:r>
      <w:r>
        <w:t>ả</w:t>
      </w:r>
      <w:r>
        <w:rPr>
          <w:lang w:val="vi-VN"/>
        </w:rPr>
        <w:t>o quản và quản lý xuồng (tàu) cao tốc dự trữ quốc gia có trách nhiệm tổ chức thực hiện Thông tư này./.</w:t>
      </w:r>
    </w:p>
    <w:p w14:paraId="55A6967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30D75795"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2E7FC51" w14:textId="77777777" w:rsidR="00000000" w:rsidRDefault="00000000">
            <w:pPr>
              <w:spacing w:before="120"/>
            </w:pPr>
            <w:r>
              <w:rPr>
                <w:b/>
                <w:bCs/>
                <w:i/>
                <w:iCs/>
                <w:lang w:val="vi-VN"/>
              </w:rPr>
              <w:br/>
              <w:t>Nơi nhận:</w:t>
            </w:r>
            <w:r>
              <w:rPr>
                <w:b/>
                <w:bCs/>
                <w:i/>
                <w:iCs/>
                <w:lang w:val="vi-VN"/>
              </w:rPr>
              <w:br/>
            </w:r>
            <w:r>
              <w:rPr>
                <w:sz w:val="16"/>
                <w:lang w:val="vi-VN"/>
              </w:rPr>
              <w:lastRenderedPageBreak/>
              <w:t>- Văn phòng Trung ương Đ</w:t>
            </w:r>
            <w:r>
              <w:rPr>
                <w:sz w:val="16"/>
              </w:rPr>
              <w:t>ả</w:t>
            </w:r>
            <w:r>
              <w:rPr>
                <w:sz w:val="16"/>
                <w:lang w:val="vi-VN"/>
              </w:rPr>
              <w:t>ng và các Ban của Đảng;</w:t>
            </w:r>
            <w:r>
              <w:rPr>
                <w:sz w:val="16"/>
                <w:lang w:val="vi-VN"/>
              </w:rPr>
              <w:br/>
              <w:t>- Văn phòng Quốc hội;</w:t>
            </w:r>
            <w:r>
              <w:rPr>
                <w:sz w:val="16"/>
                <w:lang w:val="vi-VN"/>
              </w:rPr>
              <w:br/>
              <w:t>- Văn phòng Tổng Bí thư;</w:t>
            </w:r>
            <w:r>
              <w:rPr>
                <w:sz w:val="16"/>
                <w:lang w:val="vi-VN"/>
              </w:rPr>
              <w:br/>
              <w:t>- Văn phòng Chủ tịch nước;</w:t>
            </w:r>
            <w:r>
              <w:rPr>
                <w:sz w:val="16"/>
                <w:lang w:val="vi-VN"/>
              </w:rPr>
              <w:br/>
              <w:t>- Văn phòng Chính phủ;</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Bộ</w:t>
            </w:r>
            <w:r>
              <w:rPr>
                <w:sz w:val="16"/>
              </w:rPr>
              <w:t xml:space="preserve">, </w:t>
            </w:r>
            <w:r>
              <w:rPr>
                <w:sz w:val="16"/>
                <w:lang w:val="vi-VN"/>
              </w:rPr>
              <w:t>cơ quan ngang Bộ, cơ quan thuộc Chính ph</w:t>
            </w:r>
            <w:r>
              <w:rPr>
                <w:sz w:val="16"/>
              </w:rPr>
              <w:t>ủ</w:t>
            </w:r>
            <w:r>
              <w:rPr>
                <w:sz w:val="16"/>
                <w:lang w:val="vi-VN"/>
              </w:rPr>
              <w:t>;</w:t>
            </w:r>
            <w:r>
              <w:rPr>
                <w:sz w:val="16"/>
              </w:rPr>
              <w:br/>
            </w:r>
            <w:r>
              <w:rPr>
                <w:sz w:val="16"/>
                <w:lang w:val="vi-VN"/>
              </w:rPr>
              <w:t>- Các cơ quan Trung ương của các đoàn thể;</w:t>
            </w:r>
            <w:r>
              <w:rPr>
                <w:sz w:val="16"/>
              </w:rPr>
              <w:br/>
            </w:r>
            <w:r>
              <w:rPr>
                <w:sz w:val="16"/>
                <w:lang w:val="vi-VN"/>
              </w:rPr>
              <w:t>- Các đơn vị thuộc Bộ Tài chính;</w:t>
            </w:r>
            <w:r>
              <w:rPr>
                <w:sz w:val="16"/>
                <w:lang w:val="vi-VN"/>
              </w:rPr>
              <w:br/>
              <w:t>- Các đơn vị thuộc và trực thuộc Tổng cục Dự trữ Nhà nước;</w:t>
            </w:r>
            <w:r>
              <w:rPr>
                <w:sz w:val="16"/>
                <w:lang w:val="vi-VN"/>
              </w:rPr>
              <w:br/>
              <w:t>- Cục Kiểm tra văn bản - Bộ Tư pháp;</w:t>
            </w:r>
            <w:r>
              <w:rPr>
                <w:sz w:val="16"/>
                <w:lang w:val="vi-VN"/>
              </w:rPr>
              <w:br/>
              <w:t>- Công báo; Website Chính phủ; Website Bộ Tài chính;</w:t>
            </w:r>
            <w:r>
              <w:rPr>
                <w:sz w:val="16"/>
                <w:lang w:val="vi-VN"/>
              </w:rPr>
              <w:br/>
              <w:t>- Lưu: VT; TCDT (80b).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8C7B77F" w14:textId="77777777" w:rsidR="00000000" w:rsidRDefault="00000000">
            <w:pPr>
              <w:spacing w:before="120"/>
              <w:jc w:val="center"/>
            </w:pPr>
            <w:r>
              <w:rPr>
                <w:b/>
                <w:bCs/>
              </w:rPr>
              <w:lastRenderedPageBreak/>
              <w:t>KT. BỘ TRƯỞNG</w:t>
            </w:r>
            <w:r>
              <w:rPr>
                <w:b/>
                <w:bCs/>
              </w:rPr>
              <w:br/>
              <w:t>THỨ TRƯỞNG</w:t>
            </w:r>
            <w:r>
              <w:rPr>
                <w:b/>
                <w:bCs/>
              </w:rPr>
              <w:br/>
            </w:r>
            <w:r>
              <w:rPr>
                <w:b/>
                <w:bCs/>
              </w:rPr>
              <w:lastRenderedPageBreak/>
              <w:br/>
            </w:r>
            <w:r>
              <w:rPr>
                <w:b/>
                <w:bCs/>
              </w:rPr>
              <w:br/>
            </w:r>
            <w:r>
              <w:rPr>
                <w:b/>
                <w:bCs/>
              </w:rPr>
              <w:br/>
            </w:r>
            <w:r>
              <w:rPr>
                <w:b/>
                <w:bCs/>
              </w:rPr>
              <w:br/>
              <w:t>Tạ Anh Tuấn</w:t>
            </w:r>
          </w:p>
        </w:tc>
      </w:tr>
    </w:tbl>
    <w:p w14:paraId="5047BDCE" w14:textId="77777777" w:rsidR="00000000" w:rsidRDefault="00000000">
      <w:pPr>
        <w:spacing w:before="120" w:after="280" w:afterAutospacing="1"/>
      </w:pPr>
      <w:r>
        <w:lastRenderedPageBreak/>
        <w:t> </w:t>
      </w:r>
    </w:p>
    <w:p w14:paraId="6B495708" w14:textId="77777777" w:rsidR="00000000" w:rsidRDefault="00000000">
      <w:pPr>
        <w:spacing w:before="120" w:after="280" w:afterAutospacing="1"/>
        <w:jc w:val="center"/>
      </w:pPr>
      <w:r>
        <w:rPr>
          <w:b/>
          <w:bCs/>
          <w:lang w:val="nl-NL"/>
        </w:rPr>
        <w:t xml:space="preserve">SỬA ĐỔI 2: 2022 QCVN 08: 2018/BTC </w:t>
      </w:r>
    </w:p>
    <w:p w14:paraId="779CCDE1" w14:textId="77777777" w:rsidR="00000000" w:rsidRDefault="00000000">
      <w:pPr>
        <w:spacing w:before="120" w:after="280" w:afterAutospacing="1"/>
        <w:jc w:val="center"/>
      </w:pPr>
      <w:r>
        <w:rPr>
          <w:lang w:val="nl-NL"/>
        </w:rPr>
        <w:t>QUY CHUẨN KỸ THUẬT QUỐC GIA</w:t>
      </w:r>
    </w:p>
    <w:p w14:paraId="55933A3B" w14:textId="77777777" w:rsidR="00000000" w:rsidRDefault="00000000">
      <w:pPr>
        <w:spacing w:before="120" w:after="280" w:afterAutospacing="1"/>
        <w:jc w:val="center"/>
      </w:pPr>
      <w:r>
        <w:rPr>
          <w:lang w:val="nl-NL"/>
        </w:rPr>
        <w:t xml:space="preserve">ĐỐI VỚI XUỒNG (TÀU) CAO TỐC DỰ TRỮ QUỐC GIA </w:t>
      </w:r>
    </w:p>
    <w:p w14:paraId="0C2DCF44" w14:textId="77777777" w:rsidR="00000000" w:rsidRDefault="00000000">
      <w:pPr>
        <w:spacing w:before="120" w:after="280" w:afterAutospacing="1"/>
        <w:jc w:val="center"/>
      </w:pPr>
      <w:r>
        <w:rPr>
          <w:i/>
          <w:iCs/>
          <w:lang w:val="vi-VN"/>
        </w:rPr>
        <w:t>National technical regulation on high speed craft for national reserve</w:t>
      </w:r>
    </w:p>
    <w:p w14:paraId="54751169" w14:textId="77777777" w:rsidR="00000000" w:rsidRDefault="00000000">
      <w:pPr>
        <w:spacing w:before="120" w:after="280" w:afterAutospacing="1"/>
        <w:jc w:val="center"/>
      </w:pPr>
      <w:r>
        <w:rPr>
          <w:b/>
          <w:bCs/>
          <w:i/>
          <w:iCs/>
          <w:lang w:val="vi-VN"/>
        </w:rPr>
        <w:t> </w:t>
      </w:r>
    </w:p>
    <w:p w14:paraId="2A29BB58" w14:textId="77777777" w:rsidR="00000000" w:rsidRDefault="00000000">
      <w:pPr>
        <w:spacing w:before="120" w:after="280" w:afterAutospacing="1"/>
      </w:pPr>
      <w:r>
        <w:rPr>
          <w:b/>
          <w:bCs/>
          <w:lang w:val="nl-NL"/>
        </w:rPr>
        <w:t>Lời nói đầu</w:t>
      </w:r>
    </w:p>
    <w:p w14:paraId="1E04DC6A" w14:textId="77777777" w:rsidR="00000000" w:rsidRDefault="00000000">
      <w:pPr>
        <w:spacing w:before="120" w:after="280" w:afterAutospacing="1"/>
        <w:jc w:val="both"/>
      </w:pPr>
      <w:r>
        <w:rPr>
          <w:lang w:val="nl-NL"/>
        </w:rPr>
        <w:t>Sửa đổi 2: 2022 QCVN 08: 2018/BTC chỉ bao gồm nội dung sửa đổi QCVN 08: 2018/BTC, các nội dung không được nêu tại quy chuẩn sửa đổi này thì áp dụng theo QCVN 08: 2018/BTC ban hành kèm theo Thông tư số 134/2018/TT-BTC ngày 28/12/2018 và Sửa đổi 1: 2020 QCVN 08: 2018/BTC ban hành kèm theo Thông tư số 48/2020/TT-BTC ngày 29/5/2020 của Bộ Tài chính.</w:t>
      </w:r>
    </w:p>
    <w:p w14:paraId="3B887FE3" w14:textId="77777777" w:rsidR="00000000" w:rsidRDefault="00000000">
      <w:pPr>
        <w:spacing w:before="120" w:after="280" w:afterAutospacing="1"/>
        <w:jc w:val="both"/>
      </w:pPr>
      <w:r>
        <w:rPr>
          <w:lang w:val="nl-NL"/>
        </w:rPr>
        <w:t>Sửa đổi 2: 2022 QCVN 08: 2018/BTC đối với xuồng (tàu) cao tốc dự trữ quốc gia do Tổng cục Dự trữ Nhà nước biên soạn, Bộ Khoa học và Công nghệ thẩm định, Bộ trưởng Bộ Tài chính ban hành tại Thông tư số .../2022/TT-BTC ngày .... tháng .... năm 2022.</w:t>
      </w:r>
    </w:p>
    <w:p w14:paraId="7E9EF5D6" w14:textId="77777777" w:rsidR="00000000" w:rsidRDefault="00000000">
      <w:pPr>
        <w:spacing w:before="120" w:after="280" w:afterAutospacing="1"/>
        <w:jc w:val="both"/>
      </w:pPr>
      <w:r>
        <w:rPr>
          <w:lang w:val="nl-NL"/>
        </w:rPr>
        <w:t> </w:t>
      </w:r>
    </w:p>
    <w:p w14:paraId="334A12CC" w14:textId="77777777" w:rsidR="00000000" w:rsidRDefault="00000000">
      <w:pPr>
        <w:spacing w:before="120" w:after="280" w:afterAutospacing="1"/>
        <w:jc w:val="center"/>
      </w:pPr>
      <w:r>
        <w:rPr>
          <w:b/>
          <w:bCs/>
          <w:lang w:val="nl-NL"/>
        </w:rPr>
        <w:t>QUY CHUẨN KỸ THUẬT QUỐC GIA</w:t>
      </w:r>
    </w:p>
    <w:p w14:paraId="3BBFDFEC" w14:textId="77777777" w:rsidR="00000000" w:rsidRDefault="00000000">
      <w:pPr>
        <w:spacing w:before="120" w:after="280" w:afterAutospacing="1"/>
        <w:jc w:val="center"/>
      </w:pPr>
      <w:r>
        <w:rPr>
          <w:b/>
          <w:bCs/>
          <w:lang w:val="nl-NL"/>
        </w:rPr>
        <w:t xml:space="preserve">ĐỐI VỚI XUỒNG (TÀU) CAO TỐC DỰ TRỮ QUỐC GIA </w:t>
      </w:r>
    </w:p>
    <w:p w14:paraId="4AFE22F8" w14:textId="77777777" w:rsidR="00000000" w:rsidRDefault="00000000">
      <w:pPr>
        <w:spacing w:before="120" w:after="280" w:afterAutospacing="1"/>
        <w:jc w:val="center"/>
      </w:pPr>
      <w:r>
        <w:rPr>
          <w:b/>
          <w:bCs/>
          <w:lang w:val="nl-NL"/>
        </w:rPr>
        <w:t>SỬA ĐỔI 2: 2022</w:t>
      </w:r>
    </w:p>
    <w:p w14:paraId="129073D1" w14:textId="77777777" w:rsidR="00000000" w:rsidRDefault="00000000">
      <w:pPr>
        <w:spacing w:before="120" w:after="280" w:afterAutospacing="1"/>
        <w:jc w:val="center"/>
      </w:pPr>
      <w:r>
        <w:rPr>
          <w:b/>
          <w:bCs/>
          <w:i/>
          <w:iCs/>
          <w:lang w:val="vi-VN"/>
        </w:rPr>
        <w:t>National technical regulation on high speed craft for national reserve</w:t>
      </w:r>
    </w:p>
    <w:p w14:paraId="4AB7C5BC" w14:textId="77777777" w:rsidR="00000000" w:rsidRDefault="00000000">
      <w:pPr>
        <w:spacing w:before="120" w:after="280" w:afterAutospacing="1"/>
        <w:jc w:val="center"/>
      </w:pPr>
      <w:r>
        <w:rPr>
          <w:b/>
          <w:bCs/>
          <w:i/>
          <w:iCs/>
          <w:lang w:val="vi-VN"/>
        </w:rPr>
        <w:t>Amendment 2: 2022</w:t>
      </w:r>
    </w:p>
    <w:p w14:paraId="0729889B" w14:textId="77777777" w:rsidR="00000000" w:rsidRDefault="00000000">
      <w:pPr>
        <w:spacing w:before="120" w:after="280" w:afterAutospacing="1"/>
        <w:jc w:val="both"/>
      </w:pPr>
      <w:r>
        <w:rPr>
          <w:b/>
          <w:bCs/>
          <w:lang w:val="nl-NL"/>
        </w:rPr>
        <w:t>1. Sửa đổi điểm 2.1.1.4, 2.1.1.5 Mục 2 QCVN 08: 2018/BTC như sau:</w:t>
      </w:r>
    </w:p>
    <w:p w14:paraId="5F6A4479" w14:textId="77777777" w:rsidR="00000000" w:rsidRDefault="00000000">
      <w:pPr>
        <w:spacing w:before="120" w:after="280" w:afterAutospacing="1"/>
        <w:jc w:val="both"/>
      </w:pPr>
      <w:r>
        <w:rPr>
          <w:lang w:val="nl-NL"/>
        </w:rPr>
        <w:t>“2.1.1.4 Tốc độ lớn nhất: ≥ 35 km/h.</w:t>
      </w:r>
    </w:p>
    <w:p w14:paraId="0AD1CF92" w14:textId="77777777" w:rsidR="00000000" w:rsidRDefault="00000000">
      <w:pPr>
        <w:spacing w:before="120" w:after="280" w:afterAutospacing="1"/>
        <w:jc w:val="both"/>
      </w:pPr>
      <w:r>
        <w:rPr>
          <w:lang w:val="nl-NL"/>
        </w:rPr>
        <w:t>2.1.1.5 Sức chở: Tối đa chở 05 người (không bao gồm thuyền viên, người lái phương tiện và trẻ em dưới một tuổi) hoặc 250 kg.”</w:t>
      </w:r>
    </w:p>
    <w:p w14:paraId="2E14BFF3" w14:textId="77777777" w:rsidR="00000000" w:rsidRDefault="00000000">
      <w:pPr>
        <w:spacing w:before="120" w:after="280" w:afterAutospacing="1"/>
        <w:jc w:val="both"/>
      </w:pPr>
      <w:r>
        <w:rPr>
          <w:b/>
          <w:bCs/>
          <w:lang w:val="nl-NL"/>
        </w:rPr>
        <w:t>2. Sửa đổi điểm 2.2.1.4, 2.2.1.5 Mục 2 QCVN 08: 2018/BTC như sau:</w:t>
      </w:r>
    </w:p>
    <w:p w14:paraId="6D1491AF" w14:textId="77777777" w:rsidR="00000000" w:rsidRDefault="00000000">
      <w:pPr>
        <w:spacing w:before="120" w:after="280" w:afterAutospacing="1"/>
        <w:jc w:val="both"/>
      </w:pPr>
      <w:r>
        <w:rPr>
          <w:lang w:val="nl-NL"/>
        </w:rPr>
        <w:t>“2.2.1.4 Tốc độ lớn nhất: ≥ 45 km/h.</w:t>
      </w:r>
    </w:p>
    <w:p w14:paraId="4925E08F" w14:textId="77777777" w:rsidR="00000000" w:rsidRDefault="00000000">
      <w:pPr>
        <w:spacing w:before="120" w:after="280" w:afterAutospacing="1"/>
        <w:jc w:val="both"/>
      </w:pPr>
      <w:r>
        <w:rPr>
          <w:lang w:val="nl-NL"/>
        </w:rPr>
        <w:t>2.2.1.5 Sức chở: Tối đa chở 10 người (không bao gồm thuyền viên, người lái phương tiện và trẻ em dưới một tuổi) hoặc 500 kg.”</w:t>
      </w:r>
    </w:p>
    <w:p w14:paraId="4D249CB3" w14:textId="77777777" w:rsidR="00000000" w:rsidRDefault="00000000">
      <w:pPr>
        <w:spacing w:before="120" w:after="280" w:afterAutospacing="1"/>
        <w:jc w:val="both"/>
      </w:pPr>
      <w:r>
        <w:rPr>
          <w:b/>
          <w:bCs/>
          <w:lang w:val="nl-NL"/>
        </w:rPr>
        <w:t>3. Sửa đổi điểm 2.3.1.4, 2.3.1.5 Mục 2 QCVN 08: 2018/BTC như sau:</w:t>
      </w:r>
    </w:p>
    <w:p w14:paraId="109C5533" w14:textId="77777777" w:rsidR="00000000" w:rsidRDefault="00000000">
      <w:pPr>
        <w:spacing w:before="120" w:after="280" w:afterAutospacing="1"/>
        <w:jc w:val="both"/>
      </w:pPr>
      <w:r>
        <w:rPr>
          <w:lang w:val="nl-NL"/>
        </w:rPr>
        <w:t>“2.3.1.4 Tốc độ lớn nhất: ≥ 45 km/h.</w:t>
      </w:r>
    </w:p>
    <w:p w14:paraId="587D34A8" w14:textId="77777777" w:rsidR="00000000" w:rsidRDefault="00000000">
      <w:pPr>
        <w:spacing w:before="120" w:after="280" w:afterAutospacing="1"/>
        <w:jc w:val="both"/>
      </w:pPr>
      <w:r>
        <w:rPr>
          <w:lang w:val="nl-NL"/>
        </w:rPr>
        <w:t>2.3.1.5 Sức chở: Tối đa chở 12 người (không bao gồm thuyền viên, người lái phương tiện và trẻ em dưới một tuổi) hoặc 1000 kg.”</w:t>
      </w:r>
    </w:p>
    <w:p w14:paraId="5659F489" w14:textId="77777777" w:rsidR="00000000" w:rsidRDefault="00000000">
      <w:pPr>
        <w:spacing w:before="120" w:after="280" w:afterAutospacing="1"/>
        <w:jc w:val="both"/>
      </w:pPr>
      <w:r>
        <w:rPr>
          <w:b/>
          <w:bCs/>
          <w:lang w:val="nl-NL"/>
        </w:rPr>
        <w:t>4. Sửa đổi điểm 2.4.1.4, 2.4.1.5 Mục 2 QCVN 08: 2018/BTC như sau:</w:t>
      </w:r>
    </w:p>
    <w:p w14:paraId="54070E00" w14:textId="77777777" w:rsidR="00000000" w:rsidRDefault="00000000">
      <w:pPr>
        <w:spacing w:before="120" w:after="280" w:afterAutospacing="1"/>
        <w:jc w:val="both"/>
      </w:pPr>
      <w:r>
        <w:rPr>
          <w:lang w:val="nl-NL"/>
        </w:rPr>
        <w:t>“2.4.1.4 Tốc độ lớn nhất: ≥ 45 km/h.</w:t>
      </w:r>
    </w:p>
    <w:p w14:paraId="2DB0F4DC" w14:textId="77777777" w:rsidR="00000000" w:rsidRDefault="00000000">
      <w:pPr>
        <w:spacing w:before="120" w:after="280" w:afterAutospacing="1"/>
        <w:jc w:val="both"/>
      </w:pPr>
      <w:r>
        <w:rPr>
          <w:lang w:val="nl-NL"/>
        </w:rPr>
        <w:t>2.4.1.5 Sức chở: Tối đa chở 50 người (không bao gồm thuyền viên, người lái phương tiện và trẻ em dưới một tuổi) và 1 ô tô con  hoặc 4500 kg.”</w:t>
      </w:r>
    </w:p>
    <w:p w14:paraId="78AE741C" w14:textId="77777777" w:rsidR="00000000" w:rsidRDefault="00000000">
      <w:pPr>
        <w:spacing w:before="120" w:after="280" w:afterAutospacing="1"/>
        <w:jc w:val="both"/>
      </w:pPr>
      <w:r>
        <w:rPr>
          <w:b/>
          <w:bCs/>
          <w:lang w:val="nl-NL"/>
        </w:rPr>
        <w:t>5. Bỏ các điểm 2.1.1.3, 2.2.1.3, 2.3.1.3, 2.4.1.3 Mục 2 QCVN 08: 2018/BTC</w:t>
      </w:r>
    </w:p>
    <w:p w14:paraId="57A94E5B" w14:textId="77777777" w:rsidR="00113FBD" w:rsidRDefault="00000000">
      <w:pPr>
        <w:spacing w:before="120" w:after="280" w:afterAutospacing="1"/>
      </w:pPr>
      <w:r>
        <w:t> </w:t>
      </w:r>
    </w:p>
    <w:sectPr w:rsidR="00113F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0B"/>
    <w:rsid w:val="00113FBD"/>
    <w:rsid w:val="009D5F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FFBF2"/>
  <w15:chartTrackingRefBased/>
  <w15:docId w15:val="{D13F757B-A469-4F86-8339-F835BB50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2022-10-26T03:39:00Z</dcterms:created>
  <dcterms:modified xsi:type="dcterms:W3CDTF">2022-10-26T03:39:00Z</dcterms:modified>
</cp:coreProperties>
</file>