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8178D" w14:paraId="7EDE4A4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AC23688" w14:textId="77777777" w:rsidR="00A8178D" w:rsidRDefault="00A8178D">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B2BBDF" w14:textId="77777777" w:rsidR="00A8178D" w:rsidRDefault="00A8178D">
            <w:pPr>
              <w:jc w:val="center"/>
            </w:pPr>
            <w:r>
              <w:rPr>
                <w:b/>
                <w:bCs/>
              </w:rPr>
              <w:t>CỘNG HOÀ XÃ HỘI CHỦ NGHĨA VIỆT NAM</w:t>
            </w:r>
            <w:r>
              <w:rPr>
                <w:b/>
                <w:bCs/>
              </w:rPr>
              <w:br/>
              <w:t>Độc lập - Tự do - Hạnh phúc</w:t>
            </w:r>
            <w:r>
              <w:rPr>
                <w:b/>
                <w:bCs/>
              </w:rPr>
              <w:br/>
            </w:r>
            <w:r>
              <w:t xml:space="preserve">******** </w:t>
            </w:r>
          </w:p>
        </w:tc>
      </w:tr>
      <w:tr w:rsidR="00A8178D" w14:paraId="37D91B5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0D37D33" w14:textId="77777777" w:rsidR="00A8178D" w:rsidRDefault="00A8178D">
            <w:pPr>
              <w:jc w:val="center"/>
            </w:pPr>
            <w:r>
              <w:t xml:space="preserve">Số: 39/2007/NĐ-CP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76E26C" w14:textId="77777777" w:rsidR="00A8178D" w:rsidRDefault="00A8178D">
            <w:pPr>
              <w:jc w:val="right"/>
            </w:pPr>
            <w:r>
              <w:rPr>
                <w:i/>
                <w:iCs/>
              </w:rPr>
              <w:t>Hà Nội, ngày 16 tháng 03 năm 2007 </w:t>
            </w:r>
            <w:r>
              <w:t xml:space="preserve"> </w:t>
            </w:r>
          </w:p>
        </w:tc>
      </w:tr>
    </w:tbl>
    <w:p w14:paraId="1EFB4EE6" w14:textId="77777777" w:rsidR="00A8178D" w:rsidRDefault="00A8178D">
      <w:pPr>
        <w:spacing w:after="120"/>
        <w:jc w:val="center"/>
      </w:pPr>
      <w:r>
        <w:rPr>
          <w:b/>
          <w:bCs/>
        </w:rPr>
        <w:t> </w:t>
      </w:r>
    </w:p>
    <w:p w14:paraId="2A0E830E" w14:textId="77777777" w:rsidR="00A8178D" w:rsidRDefault="00A8178D">
      <w:pPr>
        <w:spacing w:after="120"/>
        <w:jc w:val="center"/>
      </w:pPr>
      <w:bookmarkStart w:id="1" w:name="loai_1"/>
      <w:r>
        <w:rPr>
          <w:b/>
          <w:bCs/>
        </w:rPr>
        <w:t>NGHỊ ĐỊNH</w:t>
      </w:r>
      <w:bookmarkEnd w:id="1"/>
    </w:p>
    <w:p w14:paraId="09C67E17" w14:textId="77777777" w:rsidR="00A8178D" w:rsidRDefault="00A8178D">
      <w:pPr>
        <w:spacing w:after="120"/>
        <w:jc w:val="center"/>
      </w:pPr>
      <w:bookmarkStart w:id="2" w:name="loai_1_name"/>
      <w:r>
        <w:rPr>
          <w:bCs/>
        </w:rPr>
        <w:t>VỀ HOẠT ĐỘNG THƯƠNG MẠI MỘT CÁCH ĐỘC LẬP THƯỜNG XUYÊN KHÔNG PHẢI ĐĂNG KÝ KINH DOANH</w:t>
      </w:r>
      <w:bookmarkEnd w:id="2"/>
    </w:p>
    <w:p w14:paraId="1EDFEF35" w14:textId="77777777" w:rsidR="00A8178D" w:rsidRDefault="00A8178D">
      <w:pPr>
        <w:spacing w:after="120"/>
        <w:jc w:val="center"/>
      </w:pPr>
      <w:r>
        <w:rPr>
          <w:b/>
          <w:bCs/>
        </w:rPr>
        <w:t>CHÍNH PHỦ</w:t>
      </w:r>
    </w:p>
    <w:p w14:paraId="0FE8763C" w14:textId="77777777" w:rsidR="00A8178D" w:rsidRDefault="00A8178D">
      <w:pPr>
        <w:spacing w:after="120"/>
      </w:pPr>
      <w:r>
        <w:rPr>
          <w:i/>
          <w:iCs/>
        </w:rPr>
        <w:t>Căn cứ Luật Tổ chức Chính phủ ngày 25 tháng 12 năm 2001;</w:t>
      </w:r>
      <w:r>
        <w:rPr>
          <w:i/>
          <w:iCs/>
        </w:rPr>
        <w:br/>
        <w:t>Căn cứ Luật Th­ương mại ngày 14 tháng 6 năm 2005;</w:t>
      </w:r>
      <w:r>
        <w:rPr>
          <w:i/>
          <w:iCs/>
        </w:rPr>
        <w:br/>
        <w:t>Xét đề nghị của Bộ trưởng Bộ Th­ương mại,</w:t>
      </w:r>
    </w:p>
    <w:p w14:paraId="640C9531" w14:textId="77777777" w:rsidR="00A8178D" w:rsidRDefault="00A8178D">
      <w:pPr>
        <w:spacing w:after="120"/>
        <w:jc w:val="center"/>
      </w:pPr>
      <w:r>
        <w:rPr>
          <w:b/>
          <w:bCs/>
        </w:rPr>
        <w:t>NGHỊ ĐỊNH :</w:t>
      </w:r>
    </w:p>
    <w:p w14:paraId="51C457E2" w14:textId="77777777" w:rsidR="00A8178D" w:rsidRDefault="00A8178D">
      <w:pPr>
        <w:spacing w:after="120"/>
      </w:pPr>
      <w:bookmarkStart w:id="3" w:name="chuong_1"/>
      <w:r>
        <w:rPr>
          <w:b/>
          <w:bCs/>
        </w:rPr>
        <w:t>Chương 1:</w:t>
      </w:r>
      <w:bookmarkEnd w:id="3"/>
    </w:p>
    <w:p w14:paraId="746C6632" w14:textId="77777777" w:rsidR="00A8178D" w:rsidRDefault="00A8178D">
      <w:pPr>
        <w:spacing w:after="120"/>
        <w:jc w:val="center"/>
      </w:pPr>
      <w:bookmarkStart w:id="4" w:name="chuong_1_name"/>
      <w:r>
        <w:rPr>
          <w:b/>
          <w:bCs/>
        </w:rPr>
        <w:t>NHỮNG QUY ĐỊNH CHUNG</w:t>
      </w:r>
      <w:bookmarkEnd w:id="4"/>
    </w:p>
    <w:p w14:paraId="7D9977FC" w14:textId="77777777" w:rsidR="00A8178D" w:rsidRDefault="00A8178D">
      <w:pPr>
        <w:spacing w:after="120"/>
      </w:pPr>
      <w:bookmarkStart w:id="5" w:name="dieu_1"/>
      <w:r>
        <w:rPr>
          <w:b/>
          <w:bCs/>
        </w:rPr>
        <w:t>Điều 1. Phạm vi điều chỉnh</w:t>
      </w:r>
      <w:bookmarkEnd w:id="5"/>
    </w:p>
    <w:p w14:paraId="039CE713" w14:textId="77777777" w:rsidR="00A8178D" w:rsidRDefault="00A8178D">
      <w:pPr>
        <w:spacing w:after="120"/>
      </w:pPr>
      <w:r>
        <w:t>Nghị định này quy định về phạm vi kinh doanh của cá nhân hoạt động thương mại một cách độc lập, th­ường xuyên không phải đăng ký kinh doanh và trách nhiệm của các cơ quan quản lý nhà n­ước đối với hoạt động của các đối tượng này.</w:t>
      </w:r>
    </w:p>
    <w:p w14:paraId="3559865D" w14:textId="77777777" w:rsidR="00A8178D" w:rsidRDefault="00A8178D">
      <w:pPr>
        <w:spacing w:after="120"/>
      </w:pPr>
      <w:bookmarkStart w:id="6" w:name="dieu_2"/>
      <w:r>
        <w:rPr>
          <w:b/>
          <w:bCs/>
        </w:rPr>
        <w:t>Điều 2. Đối tượng áp dụng</w:t>
      </w:r>
      <w:bookmarkEnd w:id="6"/>
    </w:p>
    <w:p w14:paraId="46847C0B" w14:textId="77777777" w:rsidR="00A8178D" w:rsidRDefault="00A8178D">
      <w:pPr>
        <w:spacing w:after="120"/>
      </w:pPr>
      <w:r>
        <w:t>Nghị định này áp dụng đối với các đối tượng sau:</w:t>
      </w:r>
    </w:p>
    <w:p w14:paraId="63979F2A" w14:textId="77777777" w:rsidR="00A8178D" w:rsidRDefault="00A8178D">
      <w:pPr>
        <w:spacing w:after="120"/>
      </w:pPr>
      <w:r>
        <w:t>1. Cá nhân hoạt động th­ương mại một cách độc lập, th­ường xuyên không thuộc đối t­ượng phải đăng ký kinh doanh theo quy định của pháp luật về đăng ký kinh doanh (sau đây gọi tắt là cá nhân hoạt động th­ương mại).</w:t>
      </w:r>
    </w:p>
    <w:p w14:paraId="4AC2010C" w14:textId="77777777" w:rsidR="00A8178D" w:rsidRDefault="00A8178D">
      <w:pPr>
        <w:spacing w:after="120"/>
      </w:pPr>
      <w:r>
        <w:t>2. Tổ chức, cá nhân khác liên quan đến hoạt động th­ương mại của cá nhân hoạt động th­ương mại.</w:t>
      </w:r>
    </w:p>
    <w:p w14:paraId="0FAF0DB1" w14:textId="77777777" w:rsidR="00A8178D" w:rsidRDefault="00A8178D">
      <w:pPr>
        <w:spacing w:after="120"/>
      </w:pPr>
      <w:bookmarkStart w:id="7" w:name="dieu_3"/>
      <w:r>
        <w:rPr>
          <w:b/>
          <w:bCs/>
        </w:rPr>
        <w:t>Điều 3. Giải thích từ ngữ</w:t>
      </w:r>
      <w:bookmarkEnd w:id="7"/>
    </w:p>
    <w:p w14:paraId="49ACFB18" w14:textId="77777777" w:rsidR="00A8178D" w:rsidRDefault="00A8178D">
      <w:pPr>
        <w:spacing w:after="120"/>
      </w:pPr>
      <w:r>
        <w:t>Trong Nghị định này, một số từ ngữ đ­ược hiểu nh­ư sau:</w:t>
      </w:r>
    </w:p>
    <w:p w14:paraId="0C299F9D" w14:textId="77777777" w:rsidR="00A8178D" w:rsidRDefault="00A8178D">
      <w:pPr>
        <w:spacing w:after="120"/>
      </w:pPr>
      <w:r>
        <w:t>1. Cá nhân hoạt động th­ương mại là cá nhân tự mình hàng ngày thực hiện một, một số hoặc toàn bộ các hoạt động đ­ược pháp luật cho phép về mua bán hàng hóa, cung ứng dịch vụ và các hoạt động nhằm mục đích sinh lợi khác như­ng không thuộc đối t­ượng phải đăng ký kinh doanh theo quy định của pháp luật về đăng ký kinh doanh và không gọi là “th­ương nhân” theo quy định của Luật Thương mại. Cụ thể bao gồm những cá nhân thực hiện các hoạt động th­ương mại sau đây:</w:t>
      </w:r>
    </w:p>
    <w:p w14:paraId="33DCFFFC" w14:textId="77777777" w:rsidR="00A8178D" w:rsidRDefault="00A8178D">
      <w:pPr>
        <w:spacing w:after="120"/>
      </w:pPr>
      <w:r>
        <w:t xml:space="preserve">a) Buôn bán rong (buôn bán dạo) là các hoạt động mua, bán không có địa điểm cố định (mua rong, bán rong hoặc vừa mua rong vừa bán rong), bao gồm cả việc nhận sách báo, tạp chí, văn hóa phẩm của các th­ương nhân đ­ược phép kinh doanh các sản phẩm này theo quy định của pháp luật để bán rong; </w:t>
      </w:r>
    </w:p>
    <w:p w14:paraId="405537FF" w14:textId="77777777" w:rsidR="00A8178D" w:rsidRDefault="00A8178D">
      <w:pPr>
        <w:spacing w:after="120"/>
      </w:pPr>
      <w:r>
        <w:lastRenderedPageBreak/>
        <w:t>b) Buôn bán vặt là hoạt động mua bán những vật dụng nhỏ lẻ có hoặc không có địa điểm cố định;</w:t>
      </w:r>
    </w:p>
    <w:p w14:paraId="2051F620" w14:textId="77777777" w:rsidR="00A8178D" w:rsidRDefault="00A8178D">
      <w:pPr>
        <w:spacing w:after="120"/>
      </w:pPr>
      <w:r>
        <w:t>c) Bán quà vặt là hoạt động bán quà bánh, đồ ăn, n­ước uống (hàng nước) có hoặc không có địa điểm cố định;</w:t>
      </w:r>
    </w:p>
    <w:p w14:paraId="035BDDDB" w14:textId="77777777" w:rsidR="00A8178D" w:rsidRDefault="00A8178D">
      <w:pPr>
        <w:spacing w:after="120"/>
      </w:pPr>
      <w:r>
        <w:t>d) Buôn chuyến</w:t>
      </w:r>
      <w:r>
        <w:rPr>
          <w:i/>
          <w:iCs/>
        </w:rPr>
        <w:t xml:space="preserve"> </w:t>
      </w:r>
      <w:r>
        <w:t>là</w:t>
      </w:r>
      <w:r>
        <w:rPr>
          <w:i/>
          <w:iCs/>
        </w:rPr>
        <w:t xml:space="preserve"> </w:t>
      </w:r>
      <w:r>
        <w:t>hoạt động mua hàng hóa từ nơi khác về theo từng chuyến để bán cho người mua buôn hoặc ng­ười bán lẻ;</w:t>
      </w:r>
    </w:p>
    <w:p w14:paraId="765ABED2" w14:textId="77777777" w:rsidR="00A8178D" w:rsidRDefault="00A8178D">
      <w:pPr>
        <w:spacing w:after="120"/>
      </w:pPr>
      <w:r>
        <w:t>đ) Thực hiện các dịch vụ: đánh giày, bán vé số, chữa khóa, sửa chữa xe, trông giữ xe, rửa xe, cắt tóc, vẽ tranh, chụp ảnh và các dịch vụ khác có hoặc không có địa điểm cố định;</w:t>
      </w:r>
    </w:p>
    <w:p w14:paraId="12577B33" w14:textId="77777777" w:rsidR="00A8178D" w:rsidRDefault="00A8178D">
      <w:pPr>
        <w:spacing w:after="120"/>
      </w:pPr>
      <w:r>
        <w:t>e) Các hoạt động thương mại một cách độc lập, th­ường xuyên không phải đăng ký kinh doanh khác.</w:t>
      </w:r>
    </w:p>
    <w:p w14:paraId="411DFF36" w14:textId="77777777" w:rsidR="00A8178D" w:rsidRDefault="00A8178D">
      <w:pPr>
        <w:spacing w:after="120"/>
      </w:pPr>
      <w:r>
        <w:t>2. Kinh doanh l­ưu động là các hoạt động thương mại không có địa điểm cố định.</w:t>
      </w:r>
    </w:p>
    <w:p w14:paraId="36D4907C" w14:textId="77777777" w:rsidR="00A8178D" w:rsidRDefault="00A8178D">
      <w:pPr>
        <w:spacing w:after="120"/>
      </w:pPr>
      <w:bookmarkStart w:id="8" w:name="dieu_4"/>
      <w:r>
        <w:rPr>
          <w:b/>
          <w:bCs/>
        </w:rPr>
        <w:t>Điều 4. Áp dụng pháp luật có liên quan</w:t>
      </w:r>
      <w:bookmarkEnd w:id="8"/>
    </w:p>
    <w:p w14:paraId="13B7C508" w14:textId="77777777" w:rsidR="00A8178D" w:rsidRDefault="00A8178D">
      <w:pPr>
        <w:spacing w:after="120"/>
      </w:pPr>
      <w:r>
        <w:t xml:space="preserve">Hoạt động th­ương mại của cá nhân hoạt động thương mại phải tuân theo quy định của Nghị định này, pháp luật về th­ương mại áp dụng đối với thương nhân và pháp luật có liên quan. </w:t>
      </w:r>
    </w:p>
    <w:p w14:paraId="0C0E9189" w14:textId="77777777" w:rsidR="00A8178D" w:rsidRDefault="00A8178D">
      <w:pPr>
        <w:spacing w:after="120"/>
      </w:pPr>
      <w:bookmarkStart w:id="9" w:name="chuong_2"/>
      <w:r>
        <w:rPr>
          <w:b/>
          <w:bCs/>
        </w:rPr>
        <w:t>Chương 2:</w:t>
      </w:r>
      <w:bookmarkEnd w:id="9"/>
    </w:p>
    <w:p w14:paraId="25F1EF24" w14:textId="77777777" w:rsidR="00A8178D" w:rsidRDefault="00A8178D">
      <w:pPr>
        <w:spacing w:after="120"/>
        <w:jc w:val="center"/>
      </w:pPr>
      <w:bookmarkStart w:id="10" w:name="chuong_2_name"/>
      <w:r>
        <w:rPr>
          <w:b/>
          <w:bCs/>
        </w:rPr>
        <w:t>PHẠM VI HOẠT ĐỘNG CỦA CÁ NHÂN HOẠT ĐỘNG THƯƠNG MẠI</w:t>
      </w:r>
      <w:bookmarkEnd w:id="10"/>
    </w:p>
    <w:p w14:paraId="4D6FFEA9" w14:textId="77777777" w:rsidR="00A8178D" w:rsidRDefault="00A8178D">
      <w:pPr>
        <w:spacing w:after="120"/>
      </w:pPr>
      <w:bookmarkStart w:id="11" w:name="dieu_5"/>
      <w:r>
        <w:rPr>
          <w:b/>
          <w:bCs/>
        </w:rPr>
        <w:t>Điều 5. Phạm vi về hàng hóa, dịch vụ kinh doanh của cá nhân hoạt động thương mại</w:t>
      </w:r>
      <w:bookmarkEnd w:id="11"/>
    </w:p>
    <w:p w14:paraId="5C897747" w14:textId="77777777" w:rsidR="00A8178D" w:rsidRDefault="00A8178D">
      <w:pPr>
        <w:spacing w:after="120"/>
      </w:pPr>
      <w:r>
        <w:t>1. Cá nhân hoạt động th­ương mại đ­ược phép kinh doanh các loại hàng hóa, dịch vụ theo quy định của pháp luật, trừ các loại hàng hóa, dịch vụ sau đây:</w:t>
      </w:r>
    </w:p>
    <w:p w14:paraId="20B1CF7D" w14:textId="77777777" w:rsidR="00A8178D" w:rsidRDefault="00A8178D">
      <w:pPr>
        <w:spacing w:after="120"/>
      </w:pPr>
      <w:r>
        <w:t>a) Hàng hóa, dịch vụ thuộc Danh mục hàng hóa, dịch vụ cấm kinh doanh theo quy định của pháp luật;</w:t>
      </w:r>
    </w:p>
    <w:p w14:paraId="6071A914" w14:textId="77777777" w:rsidR="00A8178D" w:rsidRDefault="00A8178D">
      <w:pPr>
        <w:spacing w:after="120"/>
      </w:pPr>
      <w:r>
        <w:t>b) Hàng lậu, hàng giả, hàng không rõ xuất xứ, hàng quá thời hạn sử dụng, hàng không bảo đảm điều kiện vệ sinh an toàn thực phẩm theo quy định của pháp luật; hàng không bảo đảm chất l­ượng, bao gồm hàng mất phẩm chất, hàng kém chất l­ượng, hàng nhiễm độc và động, thực vật bị dịch bệnh;</w:t>
      </w:r>
    </w:p>
    <w:p w14:paraId="037046BA" w14:textId="77777777" w:rsidR="00A8178D" w:rsidRDefault="00A8178D">
      <w:pPr>
        <w:spacing w:after="120"/>
      </w:pPr>
      <w:r>
        <w:t>c) Hàng hóa, dịch vụ thuộc Danh mục hàng hóa, dịch vụ hạn chế kinh doanh theo quy định của pháp luật.</w:t>
      </w:r>
    </w:p>
    <w:p w14:paraId="0555F49D" w14:textId="77777777" w:rsidR="00A8178D" w:rsidRDefault="00A8178D">
      <w:pPr>
        <w:spacing w:after="120"/>
      </w:pPr>
      <w:r>
        <w:t>2. Tr­ường hợp kinh doanh các loại hàng hóa, dịch vụ thuộc Danh mục hàng hóa, dịch vụ kinh doanh có điều kiện, cá nhân hoạt động th­ương mại phải tuân thủ các quy định của pháp luật có liên quan đến việc kinh doanh các loại hàng hóa, dịch vụ này.</w:t>
      </w:r>
    </w:p>
    <w:p w14:paraId="4D95D080" w14:textId="77777777" w:rsidR="00A8178D" w:rsidRDefault="00A8178D">
      <w:pPr>
        <w:spacing w:after="120"/>
      </w:pPr>
      <w:r>
        <w:t>3. Cá nhân hoạt động th­ương mại phải tuân thủ pháp luật về thuế, giá, phí và lệ phí liên quan đến hàng hóa, dịch vụ kinh doanh. Trường hợp kinh doanh thực phẩm và dịch vụ ăn uống, cá nhân hoạt động th­ương mại phải bảo đảm đủ các điều kiện theo quy định của pháp luật về vệ sinh an toàn thực phẩm đối với việc kinh doanh loại hàng hóa, dịch vụ này.</w:t>
      </w:r>
    </w:p>
    <w:p w14:paraId="076C9173" w14:textId="77777777" w:rsidR="00A8178D" w:rsidRDefault="00A8178D">
      <w:pPr>
        <w:spacing w:after="120"/>
      </w:pPr>
      <w:r>
        <w:t>4. Nghiêm cấm cá nhân hoạt động th­ương mại gian lận trong cân, đong, đo, đếm và cung cấp các thông tin sai lệch, dối trá hoặc thông tin dễ gây hiểu lầm về chất l­ượng của hàng hóa, dịch vụ hoặc bản chất của hoạt động th­ương mại mà mình thực hiện.</w:t>
      </w:r>
    </w:p>
    <w:p w14:paraId="6B149F2C" w14:textId="77777777" w:rsidR="00A8178D" w:rsidRDefault="00A8178D">
      <w:pPr>
        <w:spacing w:after="120"/>
      </w:pPr>
      <w:bookmarkStart w:id="12" w:name="dieu_6"/>
      <w:r>
        <w:rPr>
          <w:b/>
          <w:bCs/>
        </w:rPr>
        <w:t>Điều 6. Phạm vi về địa điểm kinh doanh của cá nhân hoạt động thương mại</w:t>
      </w:r>
      <w:bookmarkEnd w:id="12"/>
    </w:p>
    <w:p w14:paraId="112B563F" w14:textId="77777777" w:rsidR="00A8178D" w:rsidRDefault="00A8178D">
      <w:pPr>
        <w:spacing w:after="120"/>
      </w:pPr>
      <w:r>
        <w:lastRenderedPageBreak/>
        <w:t xml:space="preserve">1. Trừ tr­ường hợp pháp luật có quy định khác, nghiêm cấm cá nhân  thực hiện các hoạt động thương mại tại các khu vực, tuyến đ­ường, địa điểm sau đây: </w:t>
      </w:r>
    </w:p>
    <w:p w14:paraId="46985AB8" w14:textId="77777777" w:rsidR="00A8178D" w:rsidRDefault="00A8178D">
      <w:pPr>
        <w:spacing w:after="120"/>
      </w:pPr>
      <w:r>
        <w:t xml:space="preserve">a) Khu vực thuộc các di tích lịch sử, văn hóa đã đ­ược xếp hạng, các danh lam thắng cảnh khác; </w:t>
      </w:r>
    </w:p>
    <w:p w14:paraId="5DDD28A6" w14:textId="77777777" w:rsidR="00A8178D" w:rsidRDefault="00A8178D">
      <w:pPr>
        <w:spacing w:after="120"/>
      </w:pPr>
      <w:r>
        <w:t xml:space="preserve">b) Khu vực các cơ quan nhà n­ước, cơ quan ngoại giao, các tổ chức quốc tế; </w:t>
      </w:r>
    </w:p>
    <w:p w14:paraId="086D400D" w14:textId="77777777" w:rsidR="00A8178D" w:rsidRDefault="00A8178D">
      <w:pPr>
        <w:spacing w:after="120"/>
      </w:pPr>
      <w:r>
        <w:t>c) Khu vực thuộc vành đai an toàn kho đạn d­ược, vật liệu nổ, nhà máy sản xuất đạn d­ược, vật liệu nổ, doanh trại Quân đội nhân dân Việt Nam;</w:t>
      </w:r>
    </w:p>
    <w:p w14:paraId="623EDABC" w14:textId="77777777" w:rsidR="00A8178D" w:rsidRDefault="00A8178D">
      <w:pPr>
        <w:spacing w:after="120"/>
      </w:pPr>
      <w:r>
        <w:t>d) Khu vực thuộc cảng hàng không, cảng biển, cửa khẩu quốc tế, sân ga, bến tầu, bến xe, bến phà, bến đò và trên các ph­ương tiện vận chuyển;</w:t>
      </w:r>
    </w:p>
    <w:p w14:paraId="205A37FD" w14:textId="77777777" w:rsidR="00A8178D" w:rsidRDefault="00A8178D">
      <w:pPr>
        <w:spacing w:after="120"/>
      </w:pPr>
      <w:r>
        <w:t>đ) Khu vực các tr­ường học, bệnh viện, cơ sở tôn giáo, tín ng­ưỡng;</w:t>
      </w:r>
    </w:p>
    <w:p w14:paraId="4022A8A5" w14:textId="77777777" w:rsidR="00A8178D" w:rsidRDefault="00A8178D">
      <w:pPr>
        <w:spacing w:after="120"/>
      </w:pPr>
      <w:r>
        <w:t xml:space="preserve">e) Nơi tạm dừng, đỗ của ph­ương tiện giao thông đang tham gia l­ưu thông, bao gồm cả đ­ường bộ và đ­ường thủy; </w:t>
      </w:r>
    </w:p>
    <w:p w14:paraId="0CACA394" w14:textId="77777777" w:rsidR="00A8178D" w:rsidRDefault="00A8178D">
      <w:pPr>
        <w:spacing w:after="120"/>
      </w:pPr>
      <w:r>
        <w:t>g) Phần đ­ường bộ bao gồm lối ra vào khu chung c­ư hoặc khu tập thể; ngõ hẻm; vỉa hè, lòng đ­ường, lề đ­ường của đ­ường đô thị, đ­ường huyện, đường tỉnh và quốc lộ dành cho ng­ười và phương tiện tham gia giao thông, trừ các khu vực, tuyến đ­ường hoặc phần vỉa hè đ­ường bộ đ­ược cơ quan có thẩm quyền quy hoạch hoặc cho phép sử dụng tạm thời để thực hiện các hoạt động th­ương mại;</w:t>
      </w:r>
    </w:p>
    <w:p w14:paraId="560C0BE1" w14:textId="77777777" w:rsidR="00A8178D" w:rsidRDefault="00A8178D">
      <w:pPr>
        <w:spacing w:after="120"/>
      </w:pPr>
      <w:r>
        <w:t>h) Các tuyến đ­ường, khu vực (kể cả khu du lịch) do Ủy ban nhân dân tỉnh, thành phố trực thuộc Trung ­ương (gọi tắt là Ủy ban nhân dân cấp tỉnh) hoặc cơ quan đ­ược Ủy ban nhân dân cấp tỉnh ủy quyền quy định và có biển cấm cá nhân thực hiện các hoạt động th­ương mại;</w:t>
      </w:r>
    </w:p>
    <w:p w14:paraId="27308989" w14:textId="77777777" w:rsidR="00A8178D" w:rsidRDefault="00A8178D">
      <w:pPr>
        <w:spacing w:after="120"/>
      </w:pPr>
      <w:r>
        <w:t>i) Khu vực thuộc quyền sử dụng của tổ chức, cá nhân tuy không phải là khu vực, tuyến đ­ường, địa điểm cấm sử dụng làm địa điểm kinh doanh theo quy định từ điểm a đến điểm h khoản 1 Điều này nh­ưng không đ­ược sự đồng ý của tổ chức, cá nhân đó hoặc khu vực đó có biển cấm cá nhân thực hiện các hoạt động th­ương mại.</w:t>
      </w:r>
    </w:p>
    <w:p w14:paraId="0C191B99" w14:textId="77777777" w:rsidR="00A8178D" w:rsidRDefault="00A8178D">
      <w:pPr>
        <w:spacing w:after="120"/>
      </w:pPr>
      <w:r>
        <w:t>2. Nghiêm cấm cá nhân hoạt động th­ương mại chiếm dụng trái phép, tự ý xây dựng, lắp đặt cơ sở, thiết bị, dụng cụ thực hiện các hoạt động th­ương mại và tr­ưng bày hàng hóa ở bất kỳ địa điểm nào trên đ­ường giao thông và nơi công cộng; lối ra vào, lối thoát hiểm hoặc bất kỳ khu vực nào làm cản trở giao thông, gây bất tiện cho cộng đồng và làm mất mỹ quan chung.</w:t>
      </w:r>
    </w:p>
    <w:p w14:paraId="3A44735B" w14:textId="77777777" w:rsidR="00A8178D" w:rsidRDefault="00A8178D">
      <w:pPr>
        <w:spacing w:after="120"/>
      </w:pPr>
      <w:r>
        <w:t>3. Tr­ường hợp tiến hành hoạt động th­ương mại ở các khu vực, tuyến đường hoặc phần vỉa hè đ­ường bộ đ­ược cơ quan nhà n­ước có thẩm quyền quy hoạch hoặc cho phép sử dụng tạm thời thì ngoài việc tuân thủ quy định của Nghị định này, cá nhân hoạt động th­ương mại phải bảo đảm thực hiện theo đúng quy hoạch và sự cho phép đó.</w:t>
      </w:r>
    </w:p>
    <w:p w14:paraId="6F0A3B6E" w14:textId="77777777" w:rsidR="00A8178D" w:rsidRDefault="00A8178D">
      <w:pPr>
        <w:spacing w:after="120"/>
      </w:pPr>
      <w:r>
        <w:t>4. Cá nhân hoạt động th­ương mại phải tuân thủ mệnh lệnh hợp pháp của người thi hành công vụ trong tr­ường hợp đ­ược yêu cầu di chuyển hàng hóa; phương tiện, thiết bị, dụng cụ thực hiện các hoạt động th­ương mại để tránh làm cản trở hoặc tắc nghẽn giao thông trong tr­ường hợp khẩn cấp hoặc vì lý do an ninh và các hoạt động xã hội khác theo quy định của pháp luật.</w:t>
      </w:r>
    </w:p>
    <w:p w14:paraId="7696CED6" w14:textId="77777777" w:rsidR="00A8178D" w:rsidRDefault="00A8178D">
      <w:pPr>
        <w:spacing w:after="120"/>
      </w:pPr>
      <w:bookmarkStart w:id="13" w:name="dieu_7"/>
      <w:r>
        <w:rPr>
          <w:b/>
          <w:bCs/>
        </w:rPr>
        <w:t>Điều 7. Bảo đảm an ninh, trật tự, vệ sinh, an toàn trong hoạt động của cá nhân hoạt động thương mại</w:t>
      </w:r>
      <w:bookmarkEnd w:id="13"/>
    </w:p>
    <w:p w14:paraId="1289ECE5" w14:textId="77777777" w:rsidR="00A8178D" w:rsidRDefault="00A8178D">
      <w:pPr>
        <w:spacing w:after="120"/>
      </w:pPr>
      <w:r>
        <w:t xml:space="preserve">   1. Trong hoạt động th­ương mại, cá nhân hoạt động th­ương mại phải tuân thủ các quy định của pháp luật về bảo đảm an ninh, trật tự, an toàn xã hội (bao gồm cả các quy định về thực hiện </w:t>
      </w:r>
      <w:r>
        <w:lastRenderedPageBreak/>
        <w:t>nếp sống văn minh), vệ sinh phòng bệnh, môi trường, phòng cháy, chữa cháy, phòng, chống thiên tai và giao thông vận tải. Nghiêm cấm cá nhân hoạt động th­ương mại:</w:t>
      </w:r>
    </w:p>
    <w:p w14:paraId="5051B820" w14:textId="77777777" w:rsidR="00A8178D" w:rsidRDefault="00A8178D">
      <w:pPr>
        <w:spacing w:after="120"/>
      </w:pPr>
      <w:r>
        <w:t>    a) Thực hiện các hoạt động th­ương mại bất hợp pháp hoặc theo cách thức gây rối trật tự ảnh h­ưởng xấu đến môi tr­ường, sức khoẻ, an toàn và phúc lợi chung của cộng đồng;</w:t>
      </w:r>
    </w:p>
    <w:p w14:paraId="6A118089" w14:textId="77777777" w:rsidR="00A8178D" w:rsidRDefault="00A8178D">
      <w:pPr>
        <w:spacing w:after="120"/>
      </w:pPr>
      <w:r>
        <w:t>    b) Sử dụng các phương tiện điện tử để thực hiện các hoạt động th­ương mại và hoạt động có liên quan đến th­ương mại xâm phạm lợi ích của người tiêu dùng, xâm phạm quyền sở hữu trí tuệ hoặc làm ảnh h­ưởng đến quyền bảo mật thông tin cá nhân.</w:t>
      </w:r>
    </w:p>
    <w:p w14:paraId="3C7CEA9A" w14:textId="77777777" w:rsidR="00A8178D" w:rsidRDefault="00A8178D">
      <w:pPr>
        <w:spacing w:after="120"/>
      </w:pPr>
      <w:r>
        <w:t>2. Khi kinh doanh l­ưu động, cá nhân hoạt động th­ương mại phải đặt, để các ph­ương tiện di chuyển, thiết bị, dụng cụ bán hàng và hàng hóa ngăn nắp, trật tự; phải có dụng cụ đựng rác và chất thải phù hợp. Nghiêm cấm cá nhân hoạt động th­ương mại thực hiện các hành vi sau đây trong hoạt động kinh doanh lưu động:</w:t>
      </w:r>
    </w:p>
    <w:p w14:paraId="1F40DFD4" w14:textId="77777777" w:rsidR="00A8178D" w:rsidRDefault="00A8178D">
      <w:pPr>
        <w:spacing w:after="120"/>
      </w:pPr>
      <w:r>
        <w:t>    a) Đeo bám, nài ép, chèo kéo, tranh giành, gây phiền hà cho khách và có lời nói hoặc cử chỉ thô tục, bất lịch sự với khách;</w:t>
      </w:r>
    </w:p>
    <w:p w14:paraId="16D77F3E" w14:textId="77777777" w:rsidR="00A8178D" w:rsidRDefault="00A8178D">
      <w:pPr>
        <w:spacing w:after="120"/>
      </w:pPr>
      <w:r>
        <w:t xml:space="preserve">    b) Tụ tập đông người hoặc dùng loa phóng thanh, chiêng, trống, còi, kèn và các ph­ương tiện tăng âm khác cổ động, quảng cáo cho hoạt động kinh doanh lưu động mà chư­a cam kết với chính quyền địa phương nơi tiến hành các hoạt động này về việc sử dụng đúng mục đích và bảo đảm trật tự và an toàn xã hội; </w:t>
      </w:r>
    </w:p>
    <w:p w14:paraId="64391BFA" w14:textId="77777777" w:rsidR="00A8178D" w:rsidRDefault="00A8178D">
      <w:pPr>
        <w:spacing w:after="120"/>
      </w:pPr>
      <w:r>
        <w:t xml:space="preserve">    c) Rao bán rong, rao làm dịch vụ l­ưu động gây ồn tại nơi công cộng và ảnh hưởng đến sự yên tĩnh chung trong khoảng thời gian từ 22 giờ đến 5 giờ sáng hôm sau; </w:t>
      </w:r>
    </w:p>
    <w:p w14:paraId="7DF33755" w14:textId="77777777" w:rsidR="00A8178D" w:rsidRDefault="00A8178D">
      <w:pPr>
        <w:spacing w:after="120"/>
      </w:pPr>
      <w:r>
        <w:t>    d) In, vẽ, viết lên t­ường; treo (chăng, dựng) cờ, băng rôn, pa nô, áp phích, biển hiệu, biển quảng cáo trái quy định của pháp luật, không phù hợp với thuần phong mỹ tục và ảnh h­ưởng xấu đến mỹ quan chung;</w:t>
      </w:r>
    </w:p>
    <w:p w14:paraId="769EBF32" w14:textId="77777777" w:rsidR="00A8178D" w:rsidRDefault="00A8178D">
      <w:pPr>
        <w:spacing w:after="120"/>
      </w:pPr>
      <w:r>
        <w:t>    đ) Sử dụng các ph­ương tiện di chuyển, thiết bị, dụng cụ thực hiện các hoạt động th­ương mại không bảo đảm tiêu chuẩn kỹ thuật, an toàn, vệ sinh, ảnh hưởng xấu đến mỹ quan chung;</w:t>
      </w:r>
    </w:p>
    <w:p w14:paraId="4319E32A" w14:textId="77777777" w:rsidR="00A8178D" w:rsidRDefault="00A8178D">
      <w:pPr>
        <w:spacing w:after="120"/>
      </w:pPr>
      <w:r>
        <w:t>    e) Đổ chất thải, phóng uế bừa bãi; vứt hoặc để các ph­ương tiện di chuyển, thiết bị, dụng cụ thực hiện các hoạt động th­ương mại, bao bì và dụng cụ gói, đựng hàng khác, giấy, rác, hàng hóa, chất béo, mỡ động vật và các đồ vật khác ra đ­ường giao thông, xuống sông, cống rãnh hoặc bất kỳ khu vực nào gây ô nhiễm môi tr­ường, làm cản trở l­ưu thông, gây bất tiện cho cộng đồng;</w:t>
      </w:r>
    </w:p>
    <w:p w14:paraId="532CA1CA" w14:textId="77777777" w:rsidR="00A8178D" w:rsidRDefault="00A8178D">
      <w:pPr>
        <w:spacing w:after="120"/>
      </w:pPr>
      <w:r>
        <w:t>    g) Nấu ăn, ngủ, nghỉ ở phần đ­ường bộ dành cho ng­ười và ph­ương tiện tham gia giao thông; lối đi, chiếu nghỉ cầu thang nhà chung c­ư; nhà chờ xe buýt; nơi hoạt động văn hóa, giải trí, vui chơi công cộng làm ảnh h­ưởng xấu đến mỹ quan chung và trật tự, an toàn xã hội;</w:t>
      </w:r>
    </w:p>
    <w:p w14:paraId="7247B2EC" w14:textId="77777777" w:rsidR="00A8178D" w:rsidRDefault="00A8178D">
      <w:pPr>
        <w:spacing w:after="120"/>
      </w:pPr>
      <w:r>
        <w:t>    h) Lợi dụng trẻ em, ng­ười tàn tật để thực hiện các hoạt động th­ương mại.</w:t>
      </w:r>
    </w:p>
    <w:p w14:paraId="43A80131" w14:textId="77777777" w:rsidR="00A8178D" w:rsidRDefault="00A8178D">
      <w:pPr>
        <w:spacing w:after="120"/>
      </w:pPr>
      <w:bookmarkStart w:id="14" w:name="chuong_3"/>
      <w:r>
        <w:rPr>
          <w:b/>
          <w:bCs/>
        </w:rPr>
        <w:t>Chương 3:</w:t>
      </w:r>
      <w:bookmarkEnd w:id="14"/>
    </w:p>
    <w:p w14:paraId="1F429F93" w14:textId="77777777" w:rsidR="00A8178D" w:rsidRDefault="00A8178D">
      <w:pPr>
        <w:spacing w:after="120"/>
        <w:jc w:val="center"/>
      </w:pPr>
      <w:bookmarkStart w:id="15" w:name="chuong_3_name"/>
      <w:r>
        <w:rPr>
          <w:b/>
          <w:bCs/>
        </w:rPr>
        <w:t>TRÁCH NHIỆM CỦA CƠ QUAN QUẢN LÝ NHÀ NƯỚC ĐỐI VỚI HOẠT ĐỘNG CỦA CÁ NHÂN  HOẠT ĐỘNG THƯƠNG MẠI</w:t>
      </w:r>
      <w:bookmarkEnd w:id="15"/>
    </w:p>
    <w:p w14:paraId="59F09E05" w14:textId="77777777" w:rsidR="00A8178D" w:rsidRDefault="00A8178D">
      <w:pPr>
        <w:spacing w:after="120"/>
      </w:pPr>
      <w:bookmarkStart w:id="16" w:name="dieu_8"/>
      <w:r>
        <w:rPr>
          <w:b/>
          <w:bCs/>
        </w:rPr>
        <w:t>Điều 8. Trách nhiệm của Ủy ban nhân dân cấp xã trong quản lý nhà nước đối với cá nhân hoạt động thương mại</w:t>
      </w:r>
      <w:bookmarkEnd w:id="16"/>
    </w:p>
    <w:p w14:paraId="7EEB1AED" w14:textId="77777777" w:rsidR="00A8178D" w:rsidRDefault="00A8178D">
      <w:pPr>
        <w:spacing w:after="120"/>
      </w:pPr>
      <w:r>
        <w:t>Giao Ủy ban nhân dân xã, phường, thị trấn (gọi tắt là Ủy ban nhân dân cấp xã) chịu trách nhiệm trực tiếp quản lý các hoạt động thương mại của cá nhân hoạt động thương mại trên địa bàn theo quy định của Nghị định này và pháp luật có liên quan. Cụ thể bao gồm các công việc sau đây:</w:t>
      </w:r>
    </w:p>
    <w:p w14:paraId="1C74F2A2" w14:textId="77777777" w:rsidR="00A8178D" w:rsidRDefault="00A8178D">
      <w:pPr>
        <w:spacing w:after="120"/>
      </w:pPr>
      <w:r>
        <w:lastRenderedPageBreak/>
        <w:t>1. Lập sổ theo dõi cá nhân hoạt động thương mại trên địa bàn quản lý (bao gồm cá nhân hoạt động thương mại cư­ trú trên địa bàn và cá nhân ở nơi khác thường xuyên đến địa bàn quản lý hoạt động thương mại) và tình hình hoạt động, chấp hành pháp luật của các đối tượng này.</w:t>
      </w:r>
    </w:p>
    <w:p w14:paraId="4D8CE021" w14:textId="77777777" w:rsidR="00A8178D" w:rsidRDefault="00A8178D">
      <w:pPr>
        <w:spacing w:after="120"/>
      </w:pPr>
      <w:r>
        <w:t>2. Tuyên truyền, phổ biến chủ trương, chính sách và quy định pháp luật liên quan về quản lý cá nhân hoạt động thương mại tới đối tượng trực tiếp thực hiện, cán bộ quản lý và toàn thể nhân dân trên địa bàn.</w:t>
      </w:r>
    </w:p>
    <w:p w14:paraId="307F436E" w14:textId="77777777" w:rsidR="00A8178D" w:rsidRDefault="00A8178D">
      <w:pPr>
        <w:spacing w:after="120"/>
      </w:pPr>
      <w:r>
        <w:t>3. Phối hợp chặt chẽ với các cơ quan quản lý, các tổ chức và cá nhân có thẩm quyền và trách nhiệm trong việc quản lý cá nhân hoạt động thương mại trên địa bàn.</w:t>
      </w:r>
    </w:p>
    <w:p w14:paraId="1D4AACF4" w14:textId="77777777" w:rsidR="00A8178D" w:rsidRDefault="00A8178D">
      <w:pPr>
        <w:spacing w:after="120"/>
      </w:pPr>
      <w:r>
        <w:t>4. Triển khai thực hiện quy hoạch, kế hoạch và phân công trách nhiệm quản lý hoạt động thương mại cụ thể của cá nhân hoạt động thương mại trên địa bàn theo hướng dẫn và phân cấp của cơ quan quản lý nhà nước cấp trên.</w:t>
      </w:r>
    </w:p>
    <w:p w14:paraId="54D9C5E3" w14:textId="77777777" w:rsidR="00A8178D" w:rsidRDefault="00A8178D">
      <w:pPr>
        <w:spacing w:after="120"/>
      </w:pPr>
      <w:r>
        <w:t>5. Thông báo công khai, rộng rãi các khu vực, tuyến đường, địa điểm cấm hoặc cho phép cá nhân thực hiện các hoạt động thương mại.</w:t>
      </w:r>
    </w:p>
    <w:p w14:paraId="4189669D" w14:textId="77777777" w:rsidR="00A8178D" w:rsidRDefault="00A8178D">
      <w:pPr>
        <w:spacing w:after="120"/>
      </w:pPr>
      <w:r>
        <w:t>6. Triển khai thực hiện các giải pháp tổ chức hoạt động thương mại và hình thức quản lý phù hợp, bảo đảm hoạt động bình thường của các khu vực, tuyến đường, địa điểm cấm hoặc cho phép cá nhân thực hiện các hoạt động thương mại; bảo đảm an ninh, an toàn cho các hoạt động hợp pháp của cá nhân hoạt động thương mại trên địa bàn quản lý.</w:t>
      </w:r>
    </w:p>
    <w:p w14:paraId="4F326402" w14:textId="77777777" w:rsidR="00A8178D" w:rsidRDefault="00A8178D">
      <w:pPr>
        <w:spacing w:after="120"/>
      </w:pPr>
      <w:r>
        <w:t>7. Thực hiện các giải pháp tổ chức, quản lý bảo đảm cho cá nhân hoạt động thương mại tuân thủ đúng các quy định về phạm vi hoạt động được  quy định trong Nghị định này; không tự ý bố trí sắp xếp và để cho cá nhân thực hiện các hoạt động thương mại tại các khu vực, tuyến đường, địa điểm bị cấm theo quy định của Nghị định này.</w:t>
      </w:r>
    </w:p>
    <w:p w14:paraId="5B338BCC" w14:textId="77777777" w:rsidR="00A8178D" w:rsidRDefault="00A8178D">
      <w:pPr>
        <w:spacing w:after="120"/>
      </w:pPr>
      <w:r>
        <w:t>8. Thực hiện các quy định của pháp luật về thuế, phí và lệ phí đối với cá nhân hoạt động thương mại trên địa bàn quản lý.</w:t>
      </w:r>
    </w:p>
    <w:p w14:paraId="6387009A" w14:textId="77777777" w:rsidR="00A8178D" w:rsidRDefault="00A8178D">
      <w:pPr>
        <w:spacing w:after="120"/>
      </w:pPr>
      <w:r>
        <w:t>9. Kiểm tra, xử lý các hành vi vi phạm pháp luật của cá nhân hoạt động thương mại theo thẩm quyền.</w:t>
      </w:r>
    </w:p>
    <w:p w14:paraId="4D2EF893" w14:textId="77777777" w:rsidR="00A8178D" w:rsidRDefault="00A8178D">
      <w:pPr>
        <w:spacing w:after="120"/>
      </w:pPr>
      <w:r>
        <w:t>10. Định kỳ hoặc đột xuất tổng hợp, báo cáo theo yêu cầu của cơ quan quản lý nhà nước cấp trên về tình hình phát triển, tổ chức, quản lý và hoạt động của cá nhân hoạt động thương mại trên địa bàn và kiến nghị các vấn đề liên quan đến việc quản lý hoạt động của các đối tượng này.</w:t>
      </w:r>
    </w:p>
    <w:p w14:paraId="1E02F712" w14:textId="77777777" w:rsidR="00A8178D" w:rsidRDefault="00A8178D">
      <w:pPr>
        <w:spacing w:after="120"/>
      </w:pPr>
      <w:bookmarkStart w:id="17" w:name="dieu_9"/>
      <w:r>
        <w:rPr>
          <w:b/>
          <w:bCs/>
        </w:rPr>
        <w:t>Điều 9. Trách nhiệm của các Bộ, ngành và Ủy ban nhân dân cấp tỉnh, cấp huyện trong quản lý nhà nước đối với cá nhân hoạt động thương mại</w:t>
      </w:r>
      <w:bookmarkEnd w:id="17"/>
    </w:p>
    <w:p w14:paraId="72CD34F1" w14:textId="77777777" w:rsidR="00A8178D" w:rsidRDefault="00A8178D">
      <w:pPr>
        <w:spacing w:after="120"/>
      </w:pPr>
      <w:r>
        <w:t>1. Các Bộ, ngành trong phạm vi nhiệm vụ, quyền hạn của mình, có trách nhiệm hướng dẫn cụ thể việc thực hiện quản lý nhà nước về các hoạt động thương mại của cá nhân hoạt động thương mại theo quy định của Nghị định này.</w:t>
      </w:r>
    </w:p>
    <w:p w14:paraId="457505B9" w14:textId="77777777" w:rsidR="00A8178D" w:rsidRDefault="00A8178D">
      <w:pPr>
        <w:spacing w:after="120"/>
      </w:pPr>
      <w:r>
        <w:t>2. Bộ Thương mại có trách nhiệm theo dõi, giám sát việc thực hiện Nghị định này.</w:t>
      </w:r>
    </w:p>
    <w:p w14:paraId="356973EF" w14:textId="77777777" w:rsidR="00A8178D" w:rsidRDefault="00A8178D">
      <w:pPr>
        <w:spacing w:after="120"/>
      </w:pPr>
      <w:r>
        <w:t>3. Ủy ban nhân dân cấp tỉnh; Ủy ban nhân dân huyện, quận, thị xã, thành phố thuộc tỉnh (gọi tắt là Ủy ban nhân dân cấp huyện) thực hiện việc quản lý nhà nước về các hoạt động thương mại của cá nhân hoạt động thương mại tại địa phương theo hướng dẫn và phân cấp của cơ quan quản lý nhà nước cấp trên. Cụ thể bao gồm các công việc sau đây:</w:t>
      </w:r>
    </w:p>
    <w:p w14:paraId="2991569E" w14:textId="77777777" w:rsidR="00A8178D" w:rsidRDefault="00A8178D">
      <w:pPr>
        <w:spacing w:after="120"/>
      </w:pPr>
      <w:r>
        <w:t>    a) Chỉ đạo, hướng dẫn và đôn đốc, kiểm tra Ủy ban nhân dân cấp dưới trong việc thực hiện các quy định về quản lý hoạt động thương mại của cá nhân hoạt động thương mại trên địa bàn;</w:t>
      </w:r>
    </w:p>
    <w:p w14:paraId="47B4A71E" w14:textId="77777777" w:rsidR="00A8178D" w:rsidRDefault="00A8178D">
      <w:pPr>
        <w:spacing w:after="120"/>
      </w:pPr>
      <w:r>
        <w:lastRenderedPageBreak/>
        <w:t>    b) Xây dựng quy hoạch và kế hoạch, phân công trách nhiệm, phân cấp quản lý hoạt động thương mại của cá nhân hoạt động thương mại trên địa bàn;</w:t>
      </w:r>
    </w:p>
    <w:p w14:paraId="787BFAD1" w14:textId="77777777" w:rsidR="00A8178D" w:rsidRDefault="00A8178D">
      <w:pPr>
        <w:spacing w:after="120"/>
      </w:pPr>
      <w:r>
        <w:t>    c) Kịp thời đ­ưa ra các giải pháp tổ chức hoạt động thương mại và hình thức quản lý phù hợp, bảo đảm hoạt động bình thường của các khu vực, tuyến đường, địa điểm cấm hoặc cho phép cá nhân thực hiện các hoạt động thương mại;</w:t>
      </w:r>
    </w:p>
    <w:p w14:paraId="47522AB9" w14:textId="77777777" w:rsidR="00A8178D" w:rsidRDefault="00A8178D">
      <w:pPr>
        <w:spacing w:after="120"/>
      </w:pPr>
      <w:r>
        <w:t>    d) Xử lý các hành vi vi phạm pháp luật của cá nhân hoạt động thương mại vượt thẩm quyền của Ủy ban nhân dân cấp dưới;</w:t>
      </w:r>
    </w:p>
    <w:p w14:paraId="363DCC5B" w14:textId="77777777" w:rsidR="00A8178D" w:rsidRDefault="00A8178D">
      <w:pPr>
        <w:spacing w:after="120"/>
      </w:pPr>
      <w:r>
        <w:t xml:space="preserve">    đ) Định kỳ hoặc đột xuất tổng hợp, báo cáo theo yêu cầu của cơ quan quản lý nhà n­ước cấp trên về tình hình phát triển, tổ chức, quản lý và hoạt động của cá nhân hoạt động thương mại tại địa phương; kiến nghị các vấn đề liên quan đến việc quản lý hoạt động của các đối t­ượng này. </w:t>
      </w:r>
    </w:p>
    <w:p w14:paraId="7BD58E08" w14:textId="77777777" w:rsidR="00A8178D" w:rsidRDefault="00A8178D">
      <w:pPr>
        <w:spacing w:after="120"/>
      </w:pPr>
      <w:r>
        <w:t>4. Ủy ban nhân dân cấp tỉnh hoặc cơ quan được Ủy ban nhân dân cấp tỉnh ủy quyền quy định thời gian và chỉ đạo việc lắp đặt biển cấm cá nhân thực hiện các hoạt động thương mại tại các khu vực, tuyến đường theo quy định tại điểm h khoản 1 Điều 6 Nghị định này.</w:t>
      </w:r>
    </w:p>
    <w:p w14:paraId="4AB6B3FA" w14:textId="77777777" w:rsidR="00A8178D" w:rsidRDefault="00A8178D">
      <w:pPr>
        <w:spacing w:after="120"/>
      </w:pPr>
      <w:r>
        <w:t>5. Ủy ban nhân dân cấp tỉnh quy định cụ thể việc quy hoạch và cho phép cá nhân sử dụng tạm thời các khu vực, tuyến đường và phần vỉa hè đường bộ trên địa bàn để thực hiện các hoạt động thương mại phù hợp với điều kiện thực tế của địa phương nh­ưng không được làm ảnh hưởng đến trật tự, an toàn giao thông.</w:t>
      </w:r>
    </w:p>
    <w:p w14:paraId="5E236D63" w14:textId="77777777" w:rsidR="00A8178D" w:rsidRDefault="00A8178D">
      <w:pPr>
        <w:spacing w:after="120"/>
      </w:pPr>
      <w:bookmarkStart w:id="18" w:name="chuong_4"/>
      <w:r>
        <w:rPr>
          <w:b/>
          <w:bCs/>
        </w:rPr>
        <w:t>Chương 4:</w:t>
      </w:r>
      <w:bookmarkEnd w:id="18"/>
    </w:p>
    <w:p w14:paraId="10285A91" w14:textId="77777777" w:rsidR="00A8178D" w:rsidRDefault="00A8178D">
      <w:pPr>
        <w:spacing w:after="120"/>
        <w:jc w:val="center"/>
      </w:pPr>
      <w:bookmarkStart w:id="19" w:name="chuong_4_name"/>
      <w:r>
        <w:rPr>
          <w:b/>
          <w:bCs/>
        </w:rPr>
        <w:t>XỬ LÝ VI PHẠM VÀ ĐIỀU KHOẢN THI HÀNH</w:t>
      </w:r>
      <w:bookmarkEnd w:id="19"/>
    </w:p>
    <w:p w14:paraId="772719DB" w14:textId="77777777" w:rsidR="00A8178D" w:rsidRDefault="00A8178D">
      <w:pPr>
        <w:spacing w:after="120"/>
      </w:pPr>
      <w:bookmarkStart w:id="20" w:name="dieu_10"/>
      <w:r>
        <w:rPr>
          <w:b/>
          <w:bCs/>
        </w:rPr>
        <w:t>Điều 10. Xử lý vi phạm</w:t>
      </w:r>
      <w:bookmarkEnd w:id="20"/>
    </w:p>
    <w:p w14:paraId="3217D4B4" w14:textId="77777777" w:rsidR="00A8178D" w:rsidRDefault="00A8178D">
      <w:pPr>
        <w:spacing w:after="120"/>
      </w:pPr>
      <w:r>
        <w:t>1. Cá nhân hoạt động thương mại có hành vi vi phạm các quy định tại Nghị định này thì tùy theo tính chất, mức độ vi phạm mà bị xử lý vi phạm hành chính hoặc truy cứu trách nhiệm hình sự; nếu gây thiệt hại thì phải bồi thường theo quy định của pháp luật.</w:t>
      </w:r>
    </w:p>
    <w:p w14:paraId="5747D7D4" w14:textId="77777777" w:rsidR="00A8178D" w:rsidRDefault="00A8178D">
      <w:pPr>
        <w:spacing w:after="120"/>
      </w:pPr>
      <w:r>
        <w:t>2. Cán bộ, công chức có hành vi lợi dụng chức vụ, quyền hạn để làm trái các quy định của Nghị định này và pháp luật có liên quan thì tùy theo tính chất, mức độ vi phạm mà bị xử lý kỷ luật, xử phạt vi phạm hành chính hoặc truy cứu trách nhiệm hình sự; nếu gây thiệt hại thì phải bồi thường theo quy định của pháp luật.</w:t>
      </w:r>
    </w:p>
    <w:p w14:paraId="7A2FC311" w14:textId="77777777" w:rsidR="00A8178D" w:rsidRDefault="00A8178D">
      <w:pPr>
        <w:spacing w:after="120"/>
      </w:pPr>
      <w:bookmarkStart w:id="21" w:name="dieu_11"/>
      <w:r>
        <w:rPr>
          <w:b/>
          <w:bCs/>
        </w:rPr>
        <w:t>Điều 11. Hiệu lực thi hành</w:t>
      </w:r>
      <w:bookmarkEnd w:id="21"/>
    </w:p>
    <w:p w14:paraId="155B6854" w14:textId="77777777" w:rsidR="00A8178D" w:rsidRDefault="00A8178D">
      <w:pPr>
        <w:spacing w:after="120"/>
      </w:pPr>
      <w:r>
        <w:t>Nghị định này có hiệu lực thi hành sau 15 ngày, kể từ ngày đăng Công báo.</w:t>
      </w:r>
    </w:p>
    <w:p w14:paraId="6EBE0972" w14:textId="77777777" w:rsidR="00A8178D" w:rsidRDefault="00A8178D">
      <w:pPr>
        <w:spacing w:after="120"/>
      </w:pPr>
      <w:bookmarkStart w:id="22" w:name="dieu_12"/>
      <w:r>
        <w:rPr>
          <w:b/>
          <w:bCs/>
        </w:rPr>
        <w:t>Điều 12. Trách nhiệm thi hành</w:t>
      </w:r>
      <w:bookmarkEnd w:id="22"/>
    </w:p>
    <w:p w14:paraId="0B7D5DB1" w14:textId="77777777" w:rsidR="00A8178D" w:rsidRDefault="00A8178D">
      <w:pPr>
        <w:spacing w:after="120"/>
      </w:pPr>
      <w:r>
        <w:t>Các Bộ trưởng, Thủ trưởng cơ quan ngang Bộ, Thủ trưởng cơ quan thuộc Chính phủ, Chủ tịch Ủy ban nhân dân tỉnh, thành phố trực thuộc Trung ­ương chịu trách nhiệm thi hành Nghị định này./.</w:t>
      </w:r>
    </w:p>
    <w:p w14:paraId="63800BC4" w14:textId="77777777" w:rsidR="00A8178D" w:rsidRDefault="00A8178D">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6"/>
        <w:gridCol w:w="2834"/>
      </w:tblGrid>
      <w:tr w:rsidR="00A8178D" w14:paraId="73A359D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2504E72" w14:textId="77777777" w:rsidR="00A8178D" w:rsidRDefault="00A8178D">
            <w:r>
              <w:t> </w:t>
            </w:r>
            <w:r>
              <w:br/>
            </w:r>
            <w:r>
              <w:rPr>
                <w:b/>
                <w:bCs/>
                <w:i/>
                <w:iCs/>
              </w:rPr>
              <w:t>Nơi nhận:</w:t>
            </w:r>
            <w:r>
              <w:rPr>
                <w:b/>
                <w:bCs/>
                <w:i/>
                <w:iCs/>
              </w:rPr>
              <w:br/>
            </w:r>
            <w:r>
              <w:rPr>
                <w:iCs/>
                <w:sz w:val="16"/>
              </w:rPr>
              <w:t xml:space="preserve">- Ban Bí thư Trung ương Đảng;                     </w:t>
            </w:r>
            <w:r>
              <w:rPr>
                <w:sz w:val="16"/>
              </w:rPr>
              <w:br/>
            </w:r>
            <w:r>
              <w:rPr>
                <w:iCs/>
                <w:sz w:val="16"/>
              </w:rPr>
              <w:t>- Thủ tướng, các Phó Thủ tướng Chính phủ;</w:t>
            </w:r>
            <w:r>
              <w:rPr>
                <w:sz w:val="16"/>
              </w:rPr>
              <w:br/>
            </w:r>
            <w:r>
              <w:rPr>
                <w:iCs/>
                <w:sz w:val="16"/>
              </w:rPr>
              <w:t>- Các Bộ, cơ quan ngang Bộ,</w:t>
            </w:r>
            <w:r>
              <w:rPr>
                <w:sz w:val="16"/>
              </w:rPr>
              <w:br/>
            </w:r>
            <w:r>
              <w:rPr>
                <w:iCs/>
                <w:sz w:val="16"/>
              </w:rPr>
              <w:t>  cơ quan thuộc Chính phủ;</w:t>
            </w:r>
            <w:r>
              <w:rPr>
                <w:sz w:val="16"/>
              </w:rPr>
              <w:br/>
            </w:r>
            <w:r>
              <w:rPr>
                <w:iCs/>
                <w:sz w:val="16"/>
              </w:rPr>
              <w:t>- Văn phòng Ban Chỉ đạo Trung ương về phòng,</w:t>
            </w:r>
            <w:r>
              <w:rPr>
                <w:sz w:val="16"/>
              </w:rPr>
              <w:br/>
            </w:r>
            <w:r>
              <w:rPr>
                <w:iCs/>
                <w:sz w:val="16"/>
              </w:rPr>
              <w:lastRenderedPageBreak/>
              <w:t>   chống tham nhũng;</w:t>
            </w:r>
            <w:r>
              <w:rPr>
                <w:sz w:val="16"/>
              </w:rPr>
              <w:br/>
            </w:r>
            <w:r>
              <w:rPr>
                <w:iCs/>
                <w:sz w:val="16"/>
              </w:rPr>
              <w:t xml:space="preserve">- HĐND, UBND các tỉnh, </w:t>
            </w:r>
            <w:r>
              <w:rPr>
                <w:sz w:val="16"/>
              </w:rPr>
              <w:br/>
            </w:r>
            <w:r>
              <w:rPr>
                <w:iCs/>
                <w:sz w:val="16"/>
              </w:rPr>
              <w:t>  thành phố trực thuộc Trung ương;</w:t>
            </w:r>
            <w:r>
              <w:rPr>
                <w:sz w:val="16"/>
              </w:rPr>
              <w:br/>
            </w:r>
            <w:r>
              <w:rPr>
                <w:iCs/>
                <w:sz w:val="16"/>
              </w:rPr>
              <w:t>- Văn phòng Trung ương và các Ban của Đảng;</w:t>
            </w:r>
            <w:r>
              <w:rPr>
                <w:sz w:val="16"/>
              </w:rPr>
              <w:br/>
            </w:r>
            <w:r>
              <w:rPr>
                <w:iCs/>
                <w:sz w:val="16"/>
              </w:rPr>
              <w:t>- Văn phòng Chủ tịch nước;</w:t>
            </w:r>
            <w:r>
              <w:rPr>
                <w:sz w:val="16"/>
              </w:rPr>
              <w:br/>
            </w:r>
            <w:r>
              <w:rPr>
                <w:iCs/>
                <w:sz w:val="16"/>
              </w:rPr>
              <w:t xml:space="preserve">- Hội đồng Dân tộc và các Ủy ban của Quốc hội;              </w:t>
            </w:r>
            <w:r>
              <w:rPr>
                <w:sz w:val="16"/>
              </w:rPr>
              <w:br/>
            </w:r>
            <w:r>
              <w:rPr>
                <w:iCs/>
                <w:sz w:val="16"/>
              </w:rPr>
              <w:t>- Văn phòng Quốc hội;</w:t>
            </w:r>
            <w:r>
              <w:rPr>
                <w:sz w:val="16"/>
              </w:rPr>
              <w:br/>
            </w:r>
            <w:r>
              <w:rPr>
                <w:iCs/>
                <w:sz w:val="16"/>
              </w:rPr>
              <w:t>- Toà án nhân dân tối cao;                                                         </w:t>
            </w:r>
            <w:r>
              <w:rPr>
                <w:sz w:val="16"/>
              </w:rPr>
              <w:br/>
            </w:r>
            <w:r>
              <w:rPr>
                <w:iCs/>
                <w:sz w:val="16"/>
              </w:rPr>
              <w:t>- Viện Kiểm sát nhân dân tối cao;</w:t>
            </w:r>
            <w:r>
              <w:rPr>
                <w:sz w:val="16"/>
              </w:rPr>
              <w:br/>
            </w:r>
            <w:r>
              <w:rPr>
                <w:iCs/>
                <w:sz w:val="16"/>
              </w:rPr>
              <w:t>- Kiểm toán Nhà nước;</w:t>
            </w:r>
            <w:r>
              <w:rPr>
                <w:sz w:val="16"/>
              </w:rPr>
              <w:br/>
            </w:r>
            <w:r>
              <w:rPr>
                <w:iCs/>
                <w:sz w:val="16"/>
              </w:rPr>
              <w:t>- Ủy ban Trung ương Mặt trận Tổ quốc Việt Nam;</w:t>
            </w:r>
            <w:r>
              <w:rPr>
                <w:sz w:val="16"/>
              </w:rPr>
              <w:br/>
            </w:r>
            <w:r>
              <w:rPr>
                <w:iCs/>
                <w:sz w:val="16"/>
              </w:rPr>
              <w:t xml:space="preserve">- Cơ quan Trung ương của các đoàn thể;                                               </w:t>
            </w:r>
            <w:r>
              <w:rPr>
                <w:sz w:val="16"/>
              </w:rPr>
              <w:br/>
            </w:r>
            <w:r>
              <w:rPr>
                <w:iCs/>
                <w:sz w:val="16"/>
              </w:rPr>
              <w:t>- Học viện Hành chính quốc gia;</w:t>
            </w:r>
            <w:r>
              <w:rPr>
                <w:sz w:val="16"/>
              </w:rPr>
              <w:br/>
            </w:r>
            <w:r>
              <w:rPr>
                <w:iCs/>
                <w:sz w:val="16"/>
              </w:rPr>
              <w:t xml:space="preserve">- VPCP: BTCN, các Phó Chủ nhiệm, </w:t>
            </w:r>
            <w:r>
              <w:rPr>
                <w:sz w:val="16"/>
              </w:rPr>
              <w:br/>
            </w:r>
            <w:r>
              <w:rPr>
                <w:iCs/>
                <w:sz w:val="16"/>
              </w:rPr>
              <w:t>  Website Chính phủ, Ban Điều hành 112,</w:t>
            </w:r>
            <w:r>
              <w:rPr>
                <w:sz w:val="16"/>
              </w:rPr>
              <w:br/>
            </w:r>
            <w:r>
              <w:rPr>
                <w:iCs/>
                <w:sz w:val="16"/>
              </w:rPr>
              <w:t>  Người phát ngôn của Thủ tướng Chính phủ,</w:t>
            </w:r>
            <w:r>
              <w:rPr>
                <w:sz w:val="16"/>
              </w:rPr>
              <w:br/>
            </w:r>
            <w:r>
              <w:rPr>
                <w:iCs/>
                <w:sz w:val="16"/>
              </w:rPr>
              <w:t>  các Vụ, Cục, đơn vị trực thuộc, Công báo;</w:t>
            </w:r>
            <w:r>
              <w:rPr>
                <w:sz w:val="16"/>
              </w:rPr>
              <w:br/>
            </w:r>
            <w:r>
              <w:rPr>
                <w:iCs/>
                <w:sz w:val="16"/>
              </w:rPr>
              <w:t>- Lưu: Văn thư, KTTH (5b). Hoà 320 bản.</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DDE4900" w14:textId="77777777" w:rsidR="00A8178D" w:rsidRDefault="00A8178D">
            <w:pPr>
              <w:jc w:val="center"/>
            </w:pPr>
            <w:r>
              <w:rPr>
                <w:b/>
                <w:bCs/>
              </w:rPr>
              <w:lastRenderedPageBreak/>
              <w:t>TM. CHÍNH PHỦ</w:t>
            </w:r>
            <w:r>
              <w:rPr>
                <w:b/>
                <w:bCs/>
              </w:rPr>
              <w:br/>
              <w:t>THỦ TƯỚNG</w:t>
            </w:r>
            <w:r>
              <w:br/>
            </w:r>
            <w:r>
              <w:br/>
            </w:r>
            <w:r>
              <w:br/>
            </w:r>
            <w:r>
              <w:br/>
            </w:r>
            <w:r>
              <w:lastRenderedPageBreak/>
              <w:br/>
            </w:r>
            <w:r>
              <w:rPr>
                <w:b/>
                <w:bCs/>
              </w:rPr>
              <w:t>Nguyễn Tấn Dũng</w:t>
            </w:r>
            <w:r>
              <w:br/>
              <w:t xml:space="preserve">  </w:t>
            </w:r>
          </w:p>
        </w:tc>
      </w:tr>
    </w:tbl>
    <w:p w14:paraId="5CB99871" w14:textId="77777777" w:rsidR="00A8178D" w:rsidRDefault="00A8178D">
      <w:pPr>
        <w:spacing w:after="120"/>
      </w:pPr>
      <w:r>
        <w:lastRenderedPageBreak/>
        <w:t> </w:t>
      </w:r>
    </w:p>
    <w:sectPr w:rsidR="00A817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9F"/>
    <w:rsid w:val="00146EA8"/>
    <w:rsid w:val="0043397B"/>
    <w:rsid w:val="00623A9F"/>
    <w:rsid w:val="00A174C9"/>
    <w:rsid w:val="00A817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4F016"/>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2557</Words>
  <Characters>14575</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Nghị định 39/2007/NĐ-CP</vt:lpstr>
    </vt:vector>
  </TitlesOfParts>
  <LinksUpToDate>false</LinksUpToDate>
  <CharactersWithSpaces>17098</CharactersWithSpaces>
  <SharedDoc>false</SharedDoc>
  <HyperlinkBase>http://vanbanphapluat.co/nghi-dinh-39-2007-nd-cp-ca-nhan-hoat-dong-thuong-mai-doc-lap-thuong-xuyen-khong-phai-dang-ky-kinh-doanh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2022-07-26T09:02:00Z</dcterms:created>
  <dcterms:modified xsi:type="dcterms:W3CDTF">2022-07-26T09:02:00Z</dcterms:modified>
</cp:coreProperties>
</file>