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CellMar>
          <w:left w:w="0" w:type="dxa"/>
          <w:right w:w="0" w:type="dxa"/>
        </w:tblCellMar>
        <w:tblLook w:val="04A0" w:firstRow="1" w:lastRow="0" w:firstColumn="1" w:lastColumn="0" w:noHBand="0" w:noVBand="1"/>
      </w:tblPr>
      <w:tblGrid>
        <w:gridCol w:w="3610"/>
        <w:gridCol w:w="5421"/>
      </w:tblGrid>
      <w:tr w:rsidR="00620E7D" w:rsidRPr="00620E7D" w14:paraId="5A36BF52" w14:textId="77777777" w:rsidTr="00620E7D">
        <w:trPr>
          <w:jc w:val="center"/>
        </w:trPr>
        <w:tc>
          <w:tcPr>
            <w:tcW w:w="3610" w:type="dxa"/>
            <w:shd w:val="clear" w:color="auto" w:fill="auto"/>
            <w:tcMar>
              <w:top w:w="0" w:type="dxa"/>
              <w:left w:w="108" w:type="dxa"/>
              <w:bottom w:w="0" w:type="dxa"/>
              <w:right w:w="108" w:type="dxa"/>
            </w:tcMar>
            <w:hideMark/>
          </w:tcPr>
          <w:p w14:paraId="0EA91D18" w14:textId="77777777" w:rsidR="00620E7D" w:rsidRPr="00620E7D" w:rsidRDefault="00620E7D" w:rsidP="00620E7D">
            <w:pPr>
              <w:spacing w:after="120" w:line="240" w:lineRule="auto"/>
              <w:jc w:val="center"/>
              <w:rPr>
                <w:rFonts w:ascii="Times New Roman" w:eastAsia="Times New Roman" w:hAnsi="Times New Roman" w:cs="Times New Roman"/>
                <w:sz w:val="24"/>
                <w:szCs w:val="24"/>
              </w:rPr>
            </w:pPr>
            <w:r w:rsidRPr="00620E7D">
              <w:rPr>
                <w:rFonts w:ascii="Times New Roman" w:eastAsia="Times New Roman" w:hAnsi="Times New Roman" w:cs="Times New Roman"/>
                <w:b/>
                <w:bCs/>
                <w:sz w:val="20"/>
                <w:szCs w:val="20"/>
              </w:rPr>
              <w:t>CHÍNH PHỦ</w:t>
            </w:r>
            <w:r w:rsidRPr="00620E7D">
              <w:rPr>
                <w:rFonts w:ascii="Times New Roman" w:eastAsia="Times New Roman" w:hAnsi="Times New Roman" w:cs="Times New Roman"/>
                <w:b/>
                <w:bCs/>
                <w:sz w:val="20"/>
                <w:szCs w:val="20"/>
              </w:rPr>
              <w:br/>
              <w:t>*****</w:t>
            </w:r>
          </w:p>
        </w:tc>
        <w:tc>
          <w:tcPr>
            <w:tcW w:w="5421" w:type="dxa"/>
            <w:shd w:val="clear" w:color="auto" w:fill="auto"/>
            <w:tcMar>
              <w:top w:w="0" w:type="dxa"/>
              <w:left w:w="108" w:type="dxa"/>
              <w:bottom w:w="0" w:type="dxa"/>
              <w:right w:w="108" w:type="dxa"/>
            </w:tcMar>
            <w:hideMark/>
          </w:tcPr>
          <w:p w14:paraId="08CDCCCE" w14:textId="77777777" w:rsidR="00620E7D" w:rsidRPr="00620E7D" w:rsidRDefault="00620E7D" w:rsidP="00620E7D">
            <w:pPr>
              <w:spacing w:after="120" w:line="240" w:lineRule="auto"/>
              <w:jc w:val="center"/>
              <w:rPr>
                <w:rFonts w:ascii="Times New Roman" w:eastAsia="Times New Roman" w:hAnsi="Times New Roman" w:cs="Times New Roman"/>
                <w:sz w:val="24"/>
                <w:szCs w:val="24"/>
              </w:rPr>
            </w:pPr>
            <w:r w:rsidRPr="00620E7D">
              <w:rPr>
                <w:rFonts w:ascii="Times New Roman" w:eastAsia="Times New Roman" w:hAnsi="Times New Roman" w:cs="Times New Roman"/>
                <w:b/>
                <w:bCs/>
                <w:sz w:val="20"/>
                <w:szCs w:val="20"/>
              </w:rPr>
              <w:t>CỘNG HÒA XÃ HỘI CHỦ NGHĨA VIỆT NAM</w:t>
            </w:r>
            <w:r w:rsidRPr="00620E7D">
              <w:rPr>
                <w:rFonts w:ascii="Times New Roman" w:eastAsia="Times New Roman" w:hAnsi="Times New Roman" w:cs="Times New Roman"/>
                <w:b/>
                <w:bCs/>
                <w:sz w:val="20"/>
                <w:szCs w:val="20"/>
              </w:rPr>
              <w:br/>
              <w:t>Độc lập - Tự do - Hạnh phúc</w:t>
            </w:r>
            <w:r w:rsidRPr="00620E7D">
              <w:rPr>
                <w:rFonts w:ascii="Times New Roman" w:eastAsia="Times New Roman" w:hAnsi="Times New Roman" w:cs="Times New Roman"/>
                <w:b/>
                <w:bCs/>
                <w:sz w:val="20"/>
                <w:szCs w:val="20"/>
              </w:rPr>
              <w:br/>
              <w:t>*******</w:t>
            </w:r>
          </w:p>
        </w:tc>
      </w:tr>
      <w:tr w:rsidR="00620E7D" w:rsidRPr="00620E7D" w14:paraId="2A084132" w14:textId="77777777" w:rsidTr="00620E7D">
        <w:trPr>
          <w:jc w:val="center"/>
        </w:trPr>
        <w:tc>
          <w:tcPr>
            <w:tcW w:w="3610" w:type="dxa"/>
            <w:shd w:val="clear" w:color="auto" w:fill="auto"/>
            <w:tcMar>
              <w:top w:w="0" w:type="dxa"/>
              <w:left w:w="108" w:type="dxa"/>
              <w:bottom w:w="0" w:type="dxa"/>
              <w:right w:w="108" w:type="dxa"/>
            </w:tcMar>
            <w:hideMark/>
          </w:tcPr>
          <w:p w14:paraId="01568762" w14:textId="77777777" w:rsidR="00620E7D" w:rsidRPr="00620E7D" w:rsidRDefault="00620E7D" w:rsidP="00620E7D">
            <w:pPr>
              <w:spacing w:after="120" w:line="240" w:lineRule="auto"/>
              <w:jc w:val="center"/>
              <w:rPr>
                <w:rFonts w:ascii="Times New Roman" w:eastAsia="Times New Roman" w:hAnsi="Times New Roman" w:cs="Times New Roman"/>
                <w:sz w:val="24"/>
                <w:szCs w:val="24"/>
              </w:rPr>
            </w:pPr>
            <w:r w:rsidRPr="00620E7D">
              <w:rPr>
                <w:rFonts w:ascii="Times New Roman" w:eastAsia="Times New Roman" w:hAnsi="Times New Roman" w:cs="Times New Roman"/>
                <w:sz w:val="20"/>
                <w:szCs w:val="20"/>
              </w:rPr>
              <w:t>Số: 170/2007/NĐ-CP</w:t>
            </w:r>
          </w:p>
        </w:tc>
        <w:tc>
          <w:tcPr>
            <w:tcW w:w="5421" w:type="dxa"/>
            <w:shd w:val="clear" w:color="auto" w:fill="auto"/>
            <w:tcMar>
              <w:top w:w="0" w:type="dxa"/>
              <w:left w:w="108" w:type="dxa"/>
              <w:bottom w:w="0" w:type="dxa"/>
              <w:right w:w="108" w:type="dxa"/>
            </w:tcMar>
            <w:hideMark/>
          </w:tcPr>
          <w:p w14:paraId="6F945EDD" w14:textId="77777777" w:rsidR="00620E7D" w:rsidRPr="00620E7D" w:rsidRDefault="00620E7D" w:rsidP="00620E7D">
            <w:pPr>
              <w:spacing w:after="120" w:line="240" w:lineRule="auto"/>
              <w:jc w:val="right"/>
              <w:rPr>
                <w:rFonts w:ascii="Times New Roman" w:eastAsia="Times New Roman" w:hAnsi="Times New Roman" w:cs="Times New Roman"/>
                <w:sz w:val="24"/>
                <w:szCs w:val="24"/>
              </w:rPr>
            </w:pPr>
            <w:r w:rsidRPr="00620E7D">
              <w:rPr>
                <w:rFonts w:ascii="Times New Roman" w:eastAsia="Times New Roman" w:hAnsi="Times New Roman" w:cs="Times New Roman"/>
                <w:i/>
                <w:iCs/>
                <w:sz w:val="20"/>
                <w:szCs w:val="20"/>
              </w:rPr>
              <w:t>Hà Nội, ngày 19 tháng 11 năm 2007</w:t>
            </w:r>
          </w:p>
        </w:tc>
      </w:tr>
    </w:tbl>
    <w:p w14:paraId="19B9D264" w14:textId="77777777" w:rsidR="00620E7D" w:rsidRPr="00620E7D" w:rsidRDefault="00620E7D" w:rsidP="00620E7D">
      <w:pPr>
        <w:shd w:val="clear" w:color="auto" w:fill="FFFFFF"/>
        <w:spacing w:after="120" w:line="240" w:lineRule="auto"/>
        <w:jc w:val="center"/>
        <w:rPr>
          <w:rFonts w:ascii="Arial" w:eastAsia="Times New Roman" w:hAnsi="Arial" w:cs="Arial"/>
          <w:color w:val="333333"/>
          <w:sz w:val="24"/>
          <w:szCs w:val="24"/>
        </w:rPr>
      </w:pPr>
      <w:r w:rsidRPr="00620E7D">
        <w:rPr>
          <w:rFonts w:ascii="Arial" w:eastAsia="Times New Roman" w:hAnsi="Arial" w:cs="Arial"/>
          <w:b/>
          <w:bCs/>
          <w:color w:val="333333"/>
          <w:sz w:val="24"/>
          <w:szCs w:val="24"/>
        </w:rPr>
        <w:t>NGHỊ ĐỊNH</w:t>
      </w:r>
    </w:p>
    <w:p w14:paraId="08C8F4CA" w14:textId="77777777" w:rsidR="00620E7D" w:rsidRPr="00620E7D" w:rsidRDefault="00620E7D" w:rsidP="00620E7D">
      <w:pPr>
        <w:shd w:val="clear" w:color="auto" w:fill="FFFFFF"/>
        <w:spacing w:after="120" w:line="240" w:lineRule="auto"/>
        <w:jc w:val="center"/>
        <w:rPr>
          <w:rFonts w:ascii="Arial" w:eastAsia="Times New Roman" w:hAnsi="Arial" w:cs="Arial"/>
          <w:color w:val="333333"/>
          <w:sz w:val="24"/>
          <w:szCs w:val="24"/>
        </w:rPr>
      </w:pPr>
      <w:r w:rsidRPr="00620E7D">
        <w:rPr>
          <w:rFonts w:ascii="Arial" w:eastAsia="Times New Roman" w:hAnsi="Arial" w:cs="Arial"/>
          <w:color w:val="333333"/>
          <w:sz w:val="20"/>
          <w:szCs w:val="20"/>
        </w:rPr>
        <w:t>SỬA ĐỔI, BỔ SUNG MỘT SỐ ĐIỀU CỦA NGHỊ ĐỊNH SỐ 05/1999/NĐ-CP NGÀY 03 THÁNG 02 NĂM 1999 CỦA CHÍNH PHỦ VỀ CHỨNG MINH NHÂN DÂN</w:t>
      </w:r>
    </w:p>
    <w:p w14:paraId="20638E2D" w14:textId="77777777" w:rsidR="00620E7D" w:rsidRPr="00620E7D" w:rsidRDefault="00620E7D" w:rsidP="00620E7D">
      <w:pPr>
        <w:shd w:val="clear" w:color="auto" w:fill="FFFFFF"/>
        <w:spacing w:after="120" w:line="240" w:lineRule="auto"/>
        <w:jc w:val="center"/>
        <w:rPr>
          <w:rFonts w:ascii="Arial" w:eastAsia="Times New Roman" w:hAnsi="Arial" w:cs="Arial"/>
          <w:color w:val="333333"/>
          <w:sz w:val="24"/>
          <w:szCs w:val="24"/>
        </w:rPr>
      </w:pPr>
      <w:r w:rsidRPr="00620E7D">
        <w:rPr>
          <w:rFonts w:ascii="Arial" w:eastAsia="Times New Roman" w:hAnsi="Arial" w:cs="Arial"/>
          <w:b/>
          <w:bCs/>
          <w:color w:val="333333"/>
          <w:sz w:val="24"/>
          <w:szCs w:val="24"/>
        </w:rPr>
        <w:t>CHÍNH PHỦ</w:t>
      </w:r>
    </w:p>
    <w:p w14:paraId="26520EF2"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i/>
          <w:iCs/>
          <w:color w:val="333333"/>
          <w:sz w:val="20"/>
          <w:szCs w:val="20"/>
        </w:rPr>
        <w:t>Căn cứ Luật Tổ chức Chính phủ ngày 25 tháng 12 năm 2001;</w:t>
      </w:r>
      <w:r w:rsidRPr="00620E7D">
        <w:rPr>
          <w:rFonts w:ascii="Arial" w:eastAsia="Times New Roman" w:hAnsi="Arial" w:cs="Arial"/>
          <w:i/>
          <w:iCs/>
          <w:color w:val="333333"/>
          <w:sz w:val="20"/>
          <w:szCs w:val="20"/>
        </w:rPr>
        <w:br/>
        <w:t>Xét đề nghị của Bộ trưởng Bộ Công an</w:t>
      </w:r>
      <w:r w:rsidRPr="00620E7D">
        <w:rPr>
          <w:rFonts w:ascii="Arial" w:eastAsia="Times New Roman" w:hAnsi="Arial" w:cs="Arial"/>
          <w:color w:val="333333"/>
          <w:sz w:val="20"/>
          <w:szCs w:val="20"/>
        </w:rPr>
        <w:t>,</w:t>
      </w:r>
    </w:p>
    <w:p w14:paraId="35140F0A" w14:textId="77777777" w:rsidR="00620E7D" w:rsidRPr="00620E7D" w:rsidRDefault="00620E7D" w:rsidP="00620E7D">
      <w:pPr>
        <w:shd w:val="clear" w:color="auto" w:fill="FFFFFF"/>
        <w:spacing w:after="120" w:line="240" w:lineRule="auto"/>
        <w:jc w:val="center"/>
        <w:rPr>
          <w:rFonts w:ascii="Arial" w:eastAsia="Times New Roman" w:hAnsi="Arial" w:cs="Arial"/>
          <w:color w:val="333333"/>
          <w:sz w:val="24"/>
          <w:szCs w:val="24"/>
        </w:rPr>
      </w:pPr>
      <w:r w:rsidRPr="00620E7D">
        <w:rPr>
          <w:rFonts w:ascii="Arial" w:eastAsia="Times New Roman" w:hAnsi="Arial" w:cs="Arial"/>
          <w:b/>
          <w:bCs/>
          <w:color w:val="333333"/>
          <w:sz w:val="24"/>
          <w:szCs w:val="24"/>
        </w:rPr>
        <w:t>NGHỊ ĐỊNH:</w:t>
      </w:r>
    </w:p>
    <w:p w14:paraId="5D91C427"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b/>
          <w:bCs/>
          <w:color w:val="333333"/>
          <w:sz w:val="20"/>
          <w:szCs w:val="20"/>
        </w:rPr>
        <w:t>Điều 1.</w:t>
      </w:r>
      <w:r w:rsidRPr="00620E7D">
        <w:rPr>
          <w:rFonts w:ascii="Arial" w:eastAsia="Times New Roman" w:hAnsi="Arial" w:cs="Arial"/>
          <w:color w:val="333333"/>
          <w:sz w:val="20"/>
          <w:szCs w:val="20"/>
        </w:rPr>
        <w:t> Sửa đổi, bổ sung một số điều của Nghị định số 05/1999/NĐ-CP ngày 03 tháng 02 năm 1999 của Chính phủ về Chứng minh nhân dân như sau:</w:t>
      </w:r>
    </w:p>
    <w:p w14:paraId="3C1EFDFC"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color w:val="333333"/>
          <w:sz w:val="20"/>
          <w:szCs w:val="20"/>
        </w:rPr>
        <w:t>1. Sửa đổi, bổ sung Điều 2 như sau:</w:t>
      </w:r>
    </w:p>
    <w:p w14:paraId="0C028305"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color w:val="333333"/>
          <w:spacing w:val="-8"/>
          <w:sz w:val="20"/>
          <w:szCs w:val="20"/>
        </w:rPr>
        <w:t>“</w:t>
      </w:r>
      <w:r w:rsidRPr="00620E7D">
        <w:rPr>
          <w:rFonts w:ascii="Arial" w:eastAsia="Times New Roman" w:hAnsi="Arial" w:cs="Arial"/>
          <w:color w:val="333333"/>
          <w:sz w:val="20"/>
          <w:szCs w:val="20"/>
        </w:rPr>
        <w:t>Điều 2. Chứng minh nhân dân hình chữ nhật dài 85,6 mm, rộng 53,98 mm, hai mặt Chứng minh nhân dân in hoa văn màu xanh trắng nhạt. Có giá trị sử dụng 15 năm kể từ ngày cấp.</w:t>
      </w:r>
    </w:p>
    <w:p w14:paraId="5768FB75"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color w:val="333333"/>
          <w:sz w:val="20"/>
          <w:szCs w:val="20"/>
        </w:rPr>
        <w:t>Mặt trước: Bên trái, từ trên xuống: hình Quốc huy nước Cộng hòa xã hội chủ nghĩa Việt Nam, đường kính 14 mm; ảnh của người được cấp Chứng minh nhân dân cỡ 20 x 30 mm; có giá trị đến (ngày, tháng, năm). Bên phải, từ trên xuống: Cộng hòa xã hội chủ nghĩa Việt Nam; chữ “Chứng minh nhân dân” (màu đỏ); số; họ và tên khai sinh; họ và tên gọi khác; ngày, tháng, năm sinh; giới tính; dân tộc; quê quán; nơi thường trú.</w:t>
      </w:r>
    </w:p>
    <w:p w14:paraId="71838A86"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color w:val="333333"/>
          <w:sz w:val="20"/>
          <w:szCs w:val="20"/>
        </w:rPr>
        <w:t>Mặt sau: Trên cùng là mã vạch 2 chiều. Bên trái, có 2 ô: ô trên, vân tay ngón trỏ trái; ô dưới, vân tay ngón trỏ phải. Bên phải, từ trên xuống: đặc điểm nhân dạng; họ và tên cha; họ và tên mẹ; ngày, tháng, năm cấp Chứng minh nhân dân; chức danh người cấp; ký tên và đóng dấu.”.</w:t>
      </w:r>
    </w:p>
    <w:p w14:paraId="5E661A68"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color w:val="333333"/>
          <w:sz w:val="20"/>
          <w:szCs w:val="20"/>
        </w:rPr>
        <w:t>2. Sửa đổi gạch đầu dòng thứ nhất điểm b khoản 1 Điều 6 như sau:</w:t>
      </w:r>
    </w:p>
    <w:p w14:paraId="0E0FFEFF"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color w:val="333333"/>
          <w:sz w:val="20"/>
          <w:szCs w:val="20"/>
        </w:rPr>
        <w:t>“- Đơn trình bày nêu rõ lý do xin đổi, cấp lại chứng minh nhân dân. Trường hợp cấp lại thì đơn phải có xác nhận của công an phường, xã, thị trấn nơi thường trú.”.</w:t>
      </w:r>
    </w:p>
    <w:p w14:paraId="16B62FBE"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b/>
          <w:bCs/>
          <w:color w:val="333333"/>
          <w:sz w:val="20"/>
          <w:szCs w:val="20"/>
        </w:rPr>
        <w:t>Điều 2.</w:t>
      </w:r>
      <w:r w:rsidRPr="00620E7D">
        <w:rPr>
          <w:rFonts w:ascii="Arial" w:eastAsia="Times New Roman" w:hAnsi="Arial" w:cs="Arial"/>
          <w:color w:val="333333"/>
          <w:sz w:val="20"/>
          <w:szCs w:val="20"/>
        </w:rPr>
        <w:t> Nghị định này có hiệu lực thi hành sau 15 ngày, kể từ ngày đăng Công báo.</w:t>
      </w:r>
    </w:p>
    <w:p w14:paraId="66523ADA"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color w:val="333333"/>
          <w:sz w:val="20"/>
          <w:szCs w:val="20"/>
        </w:rPr>
        <w:t>Giấy chứng minh nhân dân được cấp trước ngày thực hiện cấp, đổi chứng minh nhân dân theo mẫu quy định tại Nghị định này vẫn có giá trị sử dụng đến hết thời hạn theo quy định.</w:t>
      </w:r>
    </w:p>
    <w:p w14:paraId="7BA8AB30"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b/>
          <w:bCs/>
          <w:color w:val="333333"/>
          <w:sz w:val="20"/>
          <w:szCs w:val="20"/>
        </w:rPr>
        <w:t>Điều 3.</w:t>
      </w:r>
      <w:r w:rsidRPr="00620E7D">
        <w:rPr>
          <w:rFonts w:ascii="Arial" w:eastAsia="Times New Roman" w:hAnsi="Arial" w:cs="Arial"/>
          <w:color w:val="333333"/>
          <w:sz w:val="20"/>
          <w:szCs w:val="20"/>
        </w:rPr>
        <w:t> Bộ trưởng Bộ Công an có trách nhiệm hướng dẫn, chỉ đạo, kiểm tra, đôn đốc thi hành Nghị định này.</w:t>
      </w:r>
    </w:p>
    <w:p w14:paraId="10BC4328" w14:textId="77777777" w:rsidR="00620E7D" w:rsidRPr="00620E7D" w:rsidRDefault="00620E7D" w:rsidP="00620E7D">
      <w:pPr>
        <w:shd w:val="clear" w:color="auto" w:fill="FFFFFF"/>
        <w:spacing w:after="120" w:line="240" w:lineRule="auto"/>
        <w:rPr>
          <w:rFonts w:ascii="Arial" w:eastAsia="Times New Roman" w:hAnsi="Arial" w:cs="Arial"/>
          <w:color w:val="333333"/>
          <w:sz w:val="24"/>
          <w:szCs w:val="24"/>
        </w:rPr>
      </w:pPr>
      <w:r w:rsidRPr="00620E7D">
        <w:rPr>
          <w:rFonts w:ascii="Arial" w:eastAsia="Times New Roman" w:hAnsi="Arial" w:cs="Arial"/>
          <w:color w:val="333333"/>
          <w:sz w:val="20"/>
          <w:szCs w:val="20"/>
        </w:rPr>
        <w:t>Các Bộ trưởng, Thủ trưởng cơ quan ngang Bộ, Thủ trưởng cơ quan thuộc Chính phủ, Chủ tịch </w:t>
      </w:r>
      <w:r w:rsidRPr="00620E7D">
        <w:rPr>
          <w:rFonts w:ascii="Arial" w:eastAsia="Times New Roman" w:hAnsi="Arial" w:cs="Arial"/>
          <w:color w:val="000000"/>
          <w:sz w:val="20"/>
          <w:szCs w:val="20"/>
        </w:rPr>
        <w:t>Ủy ban</w:t>
      </w:r>
      <w:r w:rsidRPr="00620E7D">
        <w:rPr>
          <w:rFonts w:ascii="Arial" w:eastAsia="Times New Roman" w:hAnsi="Arial" w:cs="Arial"/>
          <w:color w:val="333333"/>
          <w:sz w:val="20"/>
          <w:szCs w:val="20"/>
        </w:rPr>
        <w:t> nhân dân các tỉnh, thành phố trực thuộc Trung ương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502"/>
        <w:gridCol w:w="4502"/>
      </w:tblGrid>
      <w:tr w:rsidR="00620E7D" w:rsidRPr="00620E7D" w14:paraId="0CA4F433" w14:textId="77777777" w:rsidTr="00620E7D">
        <w:tc>
          <w:tcPr>
            <w:tcW w:w="4502" w:type="dxa"/>
            <w:shd w:val="clear" w:color="auto" w:fill="FFFFFF"/>
            <w:tcMar>
              <w:top w:w="0" w:type="dxa"/>
              <w:left w:w="108" w:type="dxa"/>
              <w:bottom w:w="0" w:type="dxa"/>
              <w:right w:w="108" w:type="dxa"/>
            </w:tcMar>
            <w:hideMark/>
          </w:tcPr>
          <w:p w14:paraId="21690C9B" w14:textId="77777777" w:rsidR="00620E7D" w:rsidRPr="00620E7D" w:rsidRDefault="00620E7D" w:rsidP="00620E7D">
            <w:pPr>
              <w:spacing w:after="120" w:line="240" w:lineRule="auto"/>
              <w:rPr>
                <w:rFonts w:ascii="Arial" w:eastAsia="Times New Roman" w:hAnsi="Arial" w:cs="Arial"/>
                <w:color w:val="333333"/>
                <w:sz w:val="24"/>
                <w:szCs w:val="24"/>
              </w:rPr>
            </w:pPr>
            <w:r w:rsidRPr="00620E7D">
              <w:rPr>
                <w:rFonts w:ascii="Arial" w:eastAsia="Times New Roman" w:hAnsi="Arial" w:cs="Arial"/>
                <w:b/>
                <w:bCs/>
                <w:i/>
                <w:iCs/>
                <w:color w:val="333333"/>
                <w:sz w:val="20"/>
                <w:szCs w:val="20"/>
              </w:rPr>
              <w:t>Nơi nhận:</w:t>
            </w:r>
            <w:r w:rsidRPr="00620E7D">
              <w:rPr>
                <w:rFonts w:ascii="Arial" w:eastAsia="Times New Roman" w:hAnsi="Arial" w:cs="Arial"/>
                <w:color w:val="333333"/>
                <w:sz w:val="20"/>
                <w:szCs w:val="20"/>
              </w:rPr>
              <w:br/>
            </w:r>
            <w:r w:rsidRPr="00620E7D">
              <w:rPr>
                <w:rFonts w:ascii="Arial" w:eastAsia="Times New Roman" w:hAnsi="Arial" w:cs="Arial"/>
                <w:color w:val="333333"/>
                <w:sz w:val="16"/>
                <w:szCs w:val="16"/>
              </w:rPr>
              <w:t>- Ban Bí thư Trung ương Đảng;</w:t>
            </w:r>
            <w:r w:rsidRPr="00620E7D">
              <w:rPr>
                <w:rFonts w:ascii="Arial" w:eastAsia="Times New Roman" w:hAnsi="Arial" w:cs="Arial"/>
                <w:color w:val="333333"/>
                <w:sz w:val="16"/>
                <w:szCs w:val="16"/>
              </w:rPr>
              <w:br/>
              <w:t>- Thủ tướng, các Phó Thủ tướng Chính phủ;</w:t>
            </w:r>
            <w:r w:rsidRPr="00620E7D">
              <w:rPr>
                <w:rFonts w:ascii="Arial" w:eastAsia="Times New Roman" w:hAnsi="Arial" w:cs="Arial"/>
                <w:color w:val="333333"/>
                <w:sz w:val="16"/>
                <w:szCs w:val="16"/>
              </w:rPr>
              <w:br/>
              <w:t>- Các Bộ, cơ quan ngang Bộ, cơ quan thuộc CP;</w:t>
            </w:r>
            <w:r w:rsidRPr="00620E7D">
              <w:rPr>
                <w:rFonts w:ascii="Arial" w:eastAsia="Times New Roman" w:hAnsi="Arial" w:cs="Arial"/>
                <w:color w:val="333333"/>
                <w:sz w:val="16"/>
                <w:szCs w:val="16"/>
              </w:rPr>
              <w:br/>
              <w:t>- Văn phòng BCĐTW về phòng, chống tham nhũng;</w:t>
            </w:r>
            <w:r w:rsidRPr="00620E7D">
              <w:rPr>
                <w:rFonts w:ascii="Arial" w:eastAsia="Times New Roman" w:hAnsi="Arial" w:cs="Arial"/>
                <w:color w:val="333333"/>
                <w:sz w:val="16"/>
                <w:szCs w:val="16"/>
              </w:rPr>
              <w:br/>
              <w:t>- HĐND, UBND các tỉnh,</w:t>
            </w:r>
            <w:r w:rsidRPr="00620E7D">
              <w:rPr>
                <w:rFonts w:ascii="Arial" w:eastAsia="Times New Roman" w:hAnsi="Arial" w:cs="Arial"/>
                <w:color w:val="333333"/>
                <w:sz w:val="16"/>
                <w:szCs w:val="16"/>
              </w:rPr>
              <w:br/>
              <w:t>thành phố trực thuộc Trung ương;</w:t>
            </w:r>
            <w:r w:rsidRPr="00620E7D">
              <w:rPr>
                <w:rFonts w:ascii="Arial" w:eastAsia="Times New Roman" w:hAnsi="Arial" w:cs="Arial"/>
                <w:color w:val="333333"/>
                <w:sz w:val="16"/>
                <w:szCs w:val="16"/>
              </w:rPr>
              <w:br/>
              <w:t>- Văn phòng Trung ương và các Ban của Đảng;</w:t>
            </w:r>
            <w:r w:rsidRPr="00620E7D">
              <w:rPr>
                <w:rFonts w:ascii="Arial" w:eastAsia="Times New Roman" w:hAnsi="Arial" w:cs="Arial"/>
                <w:color w:val="333333"/>
                <w:sz w:val="16"/>
                <w:szCs w:val="16"/>
              </w:rPr>
              <w:br/>
              <w:t>- Văn phòng Chủ tịch nước;</w:t>
            </w:r>
            <w:r w:rsidRPr="00620E7D">
              <w:rPr>
                <w:rFonts w:ascii="Arial" w:eastAsia="Times New Roman" w:hAnsi="Arial" w:cs="Arial"/>
                <w:color w:val="333333"/>
                <w:sz w:val="16"/>
                <w:szCs w:val="16"/>
              </w:rPr>
              <w:br/>
              <w:t>- Hội đồng Dân tộc và các Ủy ban của Quốc hội;</w:t>
            </w:r>
            <w:r w:rsidRPr="00620E7D">
              <w:rPr>
                <w:rFonts w:ascii="Arial" w:eastAsia="Times New Roman" w:hAnsi="Arial" w:cs="Arial"/>
                <w:color w:val="333333"/>
                <w:sz w:val="16"/>
                <w:szCs w:val="16"/>
              </w:rPr>
              <w:br/>
              <w:t>- Văn phòng Quốc hội</w:t>
            </w:r>
            <w:r w:rsidRPr="00620E7D">
              <w:rPr>
                <w:rFonts w:ascii="Arial" w:eastAsia="Times New Roman" w:hAnsi="Arial" w:cs="Arial"/>
                <w:color w:val="333333"/>
                <w:sz w:val="16"/>
                <w:szCs w:val="16"/>
              </w:rPr>
              <w:br/>
              <w:t>- Toà án nhân dân tối cao;</w:t>
            </w:r>
            <w:r w:rsidRPr="00620E7D">
              <w:rPr>
                <w:rFonts w:ascii="Arial" w:eastAsia="Times New Roman" w:hAnsi="Arial" w:cs="Arial"/>
                <w:color w:val="333333"/>
                <w:sz w:val="16"/>
                <w:szCs w:val="16"/>
              </w:rPr>
              <w:br/>
              <w:t>- Viện Kiểm sát nhân dân tối cao;</w:t>
            </w:r>
            <w:r w:rsidRPr="00620E7D">
              <w:rPr>
                <w:rFonts w:ascii="Arial" w:eastAsia="Times New Roman" w:hAnsi="Arial" w:cs="Arial"/>
                <w:color w:val="333333"/>
                <w:sz w:val="16"/>
                <w:szCs w:val="16"/>
              </w:rPr>
              <w:br/>
              <w:t>- Kiểm toán Nhà nước;</w:t>
            </w:r>
            <w:r w:rsidRPr="00620E7D">
              <w:rPr>
                <w:rFonts w:ascii="Arial" w:eastAsia="Times New Roman" w:hAnsi="Arial" w:cs="Arial"/>
                <w:color w:val="333333"/>
                <w:sz w:val="16"/>
                <w:szCs w:val="16"/>
              </w:rPr>
              <w:br/>
              <w:t>- UBTW Mặt trận Tổ quốc Việt Nam;</w:t>
            </w:r>
            <w:r w:rsidRPr="00620E7D">
              <w:rPr>
                <w:rFonts w:ascii="Arial" w:eastAsia="Times New Roman" w:hAnsi="Arial" w:cs="Arial"/>
                <w:color w:val="333333"/>
                <w:sz w:val="16"/>
                <w:szCs w:val="16"/>
              </w:rPr>
              <w:br/>
            </w:r>
            <w:r w:rsidRPr="00620E7D">
              <w:rPr>
                <w:rFonts w:ascii="Arial" w:eastAsia="Times New Roman" w:hAnsi="Arial" w:cs="Arial"/>
                <w:color w:val="333333"/>
                <w:sz w:val="16"/>
                <w:szCs w:val="16"/>
              </w:rPr>
              <w:lastRenderedPageBreak/>
              <w:t>- Cơ quan Trung ương của các đoàn thể;</w:t>
            </w:r>
            <w:r w:rsidRPr="00620E7D">
              <w:rPr>
                <w:rFonts w:ascii="Arial" w:eastAsia="Times New Roman" w:hAnsi="Arial" w:cs="Arial"/>
                <w:color w:val="333333"/>
                <w:sz w:val="16"/>
                <w:szCs w:val="16"/>
              </w:rPr>
              <w:br/>
              <w:t>- VPCP: BTCN, các PCN, Website Chính phủ,</w:t>
            </w:r>
            <w:r w:rsidRPr="00620E7D">
              <w:rPr>
                <w:rFonts w:ascii="Arial" w:eastAsia="Times New Roman" w:hAnsi="Arial" w:cs="Arial"/>
                <w:color w:val="333333"/>
                <w:sz w:val="16"/>
                <w:szCs w:val="16"/>
              </w:rPr>
              <w:br/>
              <w:t>Người phát ngôn của Thủ tướng Chính phủ,</w:t>
            </w:r>
            <w:r w:rsidRPr="00620E7D">
              <w:rPr>
                <w:rFonts w:ascii="Arial" w:eastAsia="Times New Roman" w:hAnsi="Arial" w:cs="Arial"/>
                <w:color w:val="333333"/>
                <w:sz w:val="16"/>
                <w:szCs w:val="16"/>
              </w:rPr>
              <w:br/>
              <w:t>các Vụ, Cục, đơn vị trực thuộc, Công báo;</w:t>
            </w:r>
            <w:r w:rsidRPr="00620E7D">
              <w:rPr>
                <w:rFonts w:ascii="Arial" w:eastAsia="Times New Roman" w:hAnsi="Arial" w:cs="Arial"/>
                <w:color w:val="333333"/>
                <w:sz w:val="16"/>
                <w:szCs w:val="16"/>
              </w:rPr>
              <w:br/>
              <w:t>- Lưu: Văn thư, NC (5b). A.</w:t>
            </w:r>
            <w:r w:rsidRPr="00620E7D">
              <w:rPr>
                <w:rFonts w:ascii="Arial" w:eastAsia="Times New Roman" w:hAnsi="Arial" w:cs="Arial"/>
                <w:color w:val="333333"/>
                <w:sz w:val="16"/>
                <w:szCs w:val="16"/>
              </w:rPr>
              <w:br/>
            </w:r>
            <w:r w:rsidRPr="00620E7D">
              <w:rPr>
                <w:rFonts w:ascii="Arial" w:eastAsia="Times New Roman" w:hAnsi="Arial" w:cs="Arial"/>
                <w:color w:val="333333"/>
                <w:sz w:val="16"/>
                <w:szCs w:val="16"/>
              </w:rPr>
              <w:br/>
            </w:r>
          </w:p>
        </w:tc>
        <w:tc>
          <w:tcPr>
            <w:tcW w:w="4502" w:type="dxa"/>
            <w:shd w:val="clear" w:color="auto" w:fill="FFFFFF"/>
            <w:tcMar>
              <w:top w:w="0" w:type="dxa"/>
              <w:left w:w="108" w:type="dxa"/>
              <w:bottom w:w="0" w:type="dxa"/>
              <w:right w:w="108" w:type="dxa"/>
            </w:tcMar>
            <w:hideMark/>
          </w:tcPr>
          <w:p w14:paraId="56155D31" w14:textId="77777777" w:rsidR="00620E7D" w:rsidRPr="00620E7D" w:rsidRDefault="00620E7D" w:rsidP="00620E7D">
            <w:pPr>
              <w:spacing w:after="120" w:line="240" w:lineRule="auto"/>
              <w:jc w:val="center"/>
              <w:rPr>
                <w:rFonts w:ascii="Arial" w:eastAsia="Times New Roman" w:hAnsi="Arial" w:cs="Arial"/>
                <w:color w:val="333333"/>
                <w:sz w:val="24"/>
                <w:szCs w:val="24"/>
              </w:rPr>
            </w:pPr>
            <w:r w:rsidRPr="00620E7D">
              <w:rPr>
                <w:rFonts w:ascii="Arial" w:eastAsia="Times New Roman" w:hAnsi="Arial" w:cs="Arial"/>
                <w:b/>
                <w:bCs/>
                <w:color w:val="333333"/>
                <w:sz w:val="20"/>
                <w:szCs w:val="20"/>
              </w:rPr>
              <w:lastRenderedPageBreak/>
              <w:t>TM. CHÍNH PHỦ</w:t>
            </w:r>
            <w:r w:rsidRPr="00620E7D">
              <w:rPr>
                <w:rFonts w:ascii="Arial" w:eastAsia="Times New Roman" w:hAnsi="Arial" w:cs="Arial"/>
                <w:b/>
                <w:bCs/>
                <w:color w:val="333333"/>
                <w:sz w:val="20"/>
                <w:szCs w:val="20"/>
              </w:rPr>
              <w:br/>
              <w:t>THỦ TƯỚNG</w:t>
            </w:r>
            <w:r w:rsidRPr="00620E7D">
              <w:rPr>
                <w:rFonts w:ascii="Arial" w:eastAsia="Times New Roman" w:hAnsi="Arial" w:cs="Arial"/>
                <w:b/>
                <w:bCs/>
                <w:color w:val="333333"/>
                <w:sz w:val="20"/>
                <w:szCs w:val="20"/>
              </w:rPr>
              <w:br/>
            </w:r>
            <w:r w:rsidRPr="00620E7D">
              <w:rPr>
                <w:rFonts w:ascii="Arial" w:eastAsia="Times New Roman" w:hAnsi="Arial" w:cs="Arial"/>
                <w:b/>
                <w:bCs/>
                <w:color w:val="333333"/>
                <w:sz w:val="20"/>
                <w:szCs w:val="20"/>
              </w:rPr>
              <w:br/>
            </w:r>
            <w:r w:rsidRPr="00620E7D">
              <w:rPr>
                <w:rFonts w:ascii="Arial" w:eastAsia="Times New Roman" w:hAnsi="Arial" w:cs="Arial"/>
                <w:b/>
                <w:bCs/>
                <w:color w:val="333333"/>
                <w:sz w:val="20"/>
                <w:szCs w:val="20"/>
              </w:rPr>
              <w:br/>
            </w:r>
            <w:r w:rsidRPr="00620E7D">
              <w:rPr>
                <w:rFonts w:ascii="Arial" w:eastAsia="Times New Roman" w:hAnsi="Arial" w:cs="Arial"/>
                <w:b/>
                <w:bCs/>
                <w:color w:val="333333"/>
                <w:sz w:val="20"/>
                <w:szCs w:val="20"/>
              </w:rPr>
              <w:br/>
            </w:r>
            <w:r w:rsidRPr="00620E7D">
              <w:rPr>
                <w:rFonts w:ascii="Arial" w:eastAsia="Times New Roman" w:hAnsi="Arial" w:cs="Arial"/>
                <w:b/>
                <w:bCs/>
                <w:i/>
                <w:iCs/>
                <w:color w:val="333333"/>
                <w:sz w:val="20"/>
                <w:szCs w:val="20"/>
              </w:rPr>
              <w:br/>
            </w:r>
            <w:r w:rsidRPr="00620E7D">
              <w:rPr>
                <w:rFonts w:ascii="Arial" w:eastAsia="Times New Roman" w:hAnsi="Arial" w:cs="Arial"/>
                <w:b/>
                <w:bCs/>
                <w:color w:val="333333"/>
                <w:sz w:val="20"/>
                <w:szCs w:val="20"/>
              </w:rPr>
              <w:t>Nguyễn Tấn Dũng</w:t>
            </w:r>
          </w:p>
        </w:tc>
      </w:tr>
    </w:tbl>
    <w:p w14:paraId="026BB857"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7D"/>
    <w:rsid w:val="00620E7D"/>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C665"/>
  <w15:chartTrackingRefBased/>
  <w15:docId w15:val="{611B0CB0-7DA6-4A2F-813E-11960000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3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2022-07-27T03:48:00Z</dcterms:created>
  <dcterms:modified xsi:type="dcterms:W3CDTF">2022-07-27T04:07:00Z</dcterms:modified>
</cp:coreProperties>
</file>