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5755"/>
      </w:tblGrid>
      <w:tr w:rsidR="00D84690" w14:paraId="4ED79211" w14:textId="77777777">
        <w:tc>
          <w:tcPr>
            <w:tcW w:w="30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C60C6" w14:textId="77777777" w:rsidR="00D84690" w:rsidRDefault="00D84690">
            <w:pPr>
              <w:jc w:val="center"/>
            </w:pPr>
            <w:bookmarkStart w:id="0" w:name="_GoBack"/>
            <w:bookmarkEnd w:id="0"/>
            <w:r>
              <w:rPr>
                <w:b/>
                <w:bCs/>
                <w:sz w:val="20"/>
              </w:rPr>
              <w:t>CHÍNH PHỦ</w:t>
            </w:r>
            <w:r>
              <w:rPr>
                <w:b/>
                <w:bCs/>
                <w:sz w:val="20"/>
              </w:rPr>
              <w:br/>
              <w:t>*****</w:t>
            </w:r>
          </w:p>
        </w:tc>
        <w:tc>
          <w:tcPr>
            <w:tcW w:w="57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96012" w14:textId="77777777" w:rsidR="00D84690" w:rsidRDefault="00D84690">
            <w:pPr>
              <w:jc w:val="center"/>
            </w:pPr>
            <w:r>
              <w:rPr>
                <w:b/>
                <w:bCs/>
                <w:sz w:val="20"/>
              </w:rPr>
              <w:t>CỘNG HOÀ XÃ HỘI CHỦ NGHĨA VIỆT NAM</w:t>
            </w:r>
            <w:r>
              <w:rPr>
                <w:b/>
                <w:bCs/>
                <w:sz w:val="20"/>
              </w:rPr>
              <w:br/>
              <w:t>Độc lập - Tự do - Hạnh phúc</w:t>
            </w:r>
            <w:r>
              <w:rPr>
                <w:b/>
                <w:bCs/>
                <w:sz w:val="20"/>
              </w:rPr>
              <w:br/>
              <w:t>*******</w:t>
            </w:r>
          </w:p>
        </w:tc>
      </w:tr>
      <w:tr w:rsidR="00D84690" w14:paraId="647F8B44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B7602" w14:textId="77777777" w:rsidR="00D84690" w:rsidRDefault="00D84690">
            <w:pPr>
              <w:jc w:val="center"/>
            </w:pPr>
            <w:r>
              <w:rPr>
                <w:sz w:val="20"/>
              </w:rPr>
              <w:t>Số: 177/2007/NĐ-CP</w:t>
            </w:r>
          </w:p>
        </w:tc>
        <w:tc>
          <w:tcPr>
            <w:tcW w:w="57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B10C8" w14:textId="77777777" w:rsidR="00D84690" w:rsidRDefault="00D84690">
            <w:pPr>
              <w:jc w:val="right"/>
            </w:pPr>
            <w:r>
              <w:rPr>
                <w:i/>
                <w:iCs/>
                <w:sz w:val="20"/>
              </w:rPr>
              <w:t>Hà Nội, ngày 03 tháng 12 năm 2007</w:t>
            </w:r>
          </w:p>
        </w:tc>
      </w:tr>
    </w:tbl>
    <w:p w14:paraId="0C0E9BE7" w14:textId="77777777" w:rsidR="00D84690" w:rsidRDefault="00D84690">
      <w:pPr>
        <w:spacing w:after="120"/>
      </w:pPr>
      <w:r>
        <w:rPr>
          <w:sz w:val="20"/>
        </w:rPr>
        <w:t> </w:t>
      </w:r>
    </w:p>
    <w:p w14:paraId="277FAB7C" w14:textId="77777777" w:rsidR="00D84690" w:rsidRDefault="00D84690">
      <w:pPr>
        <w:spacing w:after="120"/>
        <w:jc w:val="center"/>
      </w:pPr>
      <w:r>
        <w:rPr>
          <w:b/>
          <w:bCs/>
        </w:rPr>
        <w:t>NGHỊ ĐỊNH</w:t>
      </w:r>
    </w:p>
    <w:p w14:paraId="67E28139" w14:textId="77777777" w:rsidR="00D84690" w:rsidRDefault="00D84690">
      <w:pPr>
        <w:spacing w:after="120"/>
        <w:jc w:val="center"/>
      </w:pPr>
      <w:r>
        <w:rPr>
          <w:sz w:val="20"/>
        </w:rPr>
        <w:t>VỀ VIỆC THÀNH LẬP PHƯỜNG NINH SƠN THUỘC THÀNH PHỐ NINH BÌNH, TỈNH NINH BÌNH</w:t>
      </w:r>
    </w:p>
    <w:p w14:paraId="778444FD" w14:textId="77777777" w:rsidR="00D84690" w:rsidRDefault="00D84690">
      <w:pPr>
        <w:spacing w:after="120"/>
        <w:jc w:val="center"/>
      </w:pPr>
      <w:r>
        <w:rPr>
          <w:b/>
          <w:bCs/>
        </w:rPr>
        <w:t>CHÍNH PHỦ</w:t>
      </w:r>
    </w:p>
    <w:p w14:paraId="2857A396" w14:textId="77777777" w:rsidR="00D84690" w:rsidRDefault="00D84690">
      <w:pPr>
        <w:spacing w:after="120"/>
      </w:pPr>
      <w:r>
        <w:rPr>
          <w:i/>
          <w:iCs/>
          <w:sz w:val="20"/>
        </w:rPr>
        <w:t>Căn cứ Luật Tổ chức Chính phủ ngày 25 tháng 12 năm 2001;</w:t>
      </w:r>
      <w:r>
        <w:rPr>
          <w:i/>
          <w:iCs/>
          <w:sz w:val="20"/>
        </w:rPr>
        <w:br/>
        <w:t>Xét đề nghị của Bộ trưởng Bộ Nội vụ và Chủ tịch Ủy ban nhân dân tỉnh Ninh Bình</w:t>
      </w:r>
      <w:r>
        <w:rPr>
          <w:sz w:val="20"/>
        </w:rPr>
        <w:t>,</w:t>
      </w:r>
    </w:p>
    <w:p w14:paraId="452B66C4" w14:textId="77777777" w:rsidR="00D84690" w:rsidRDefault="00D84690">
      <w:pPr>
        <w:spacing w:after="120"/>
        <w:jc w:val="center"/>
      </w:pPr>
      <w:r>
        <w:rPr>
          <w:b/>
          <w:bCs/>
        </w:rPr>
        <w:t>NGHỊ ĐỊNH:</w:t>
      </w:r>
    </w:p>
    <w:p w14:paraId="2D124CAA" w14:textId="77777777" w:rsidR="00D84690" w:rsidRDefault="00D84690">
      <w:pPr>
        <w:spacing w:after="120"/>
      </w:pPr>
      <w:r>
        <w:rPr>
          <w:b/>
          <w:bCs/>
          <w:sz w:val="20"/>
        </w:rPr>
        <w:t>Điều 1.</w:t>
      </w:r>
      <w:r>
        <w:rPr>
          <w:sz w:val="20"/>
        </w:rPr>
        <w:t xml:space="preserve"> Thành lập phường Ninh Sơn thuộc thành phố Ninh Bình, tỉnh Ninh Bình:</w:t>
      </w:r>
    </w:p>
    <w:p w14:paraId="3213D8F8" w14:textId="77777777" w:rsidR="00D84690" w:rsidRDefault="00D84690">
      <w:pPr>
        <w:spacing w:after="120"/>
      </w:pPr>
      <w:r>
        <w:rPr>
          <w:sz w:val="20"/>
        </w:rPr>
        <w:t>Thành lập phường Ninh Sơn thuộc thành phố Ninh Bình trên cơ sở toàn bộ 466,43 ha diện tích tự nhiên và 8.615 nhân khẩu của xã Ninh Sơn.</w:t>
      </w:r>
    </w:p>
    <w:p w14:paraId="3E777950" w14:textId="77777777" w:rsidR="00D84690" w:rsidRDefault="00D84690">
      <w:pPr>
        <w:spacing w:after="120"/>
      </w:pPr>
      <w:r>
        <w:rPr>
          <w:sz w:val="20"/>
        </w:rPr>
        <w:t>Phường Ninh Sơn có 466,43 ha diện tích tự nhiên và 8.615 nhân khẩu .</w:t>
      </w:r>
    </w:p>
    <w:p w14:paraId="0875B607" w14:textId="77777777" w:rsidR="00D84690" w:rsidRDefault="00D84690">
      <w:pPr>
        <w:spacing w:after="120"/>
      </w:pPr>
      <w:r>
        <w:rPr>
          <w:sz w:val="20"/>
        </w:rPr>
        <w:t>Địa giới hành chính phường Ninh Sơn: Đông giáp xã Ninh Phúc, thành phố Ninh Bình; Tây giáp phường Ninh Phong và phường Nam Bình, thành phố Ninh Bình; Nam giáp xã Ninh An, huyện Hoa Lư; Bắc giáp phường Bích Đào, thành phố Ninh Bình.</w:t>
      </w:r>
    </w:p>
    <w:p w14:paraId="26D4D45B" w14:textId="77777777" w:rsidR="00D84690" w:rsidRDefault="00D84690">
      <w:pPr>
        <w:spacing w:after="120"/>
      </w:pPr>
      <w:r>
        <w:rPr>
          <w:sz w:val="20"/>
        </w:rPr>
        <w:t>Sau khi thành lập phường Ninh Sơn:</w:t>
      </w:r>
    </w:p>
    <w:p w14:paraId="4DE3682C" w14:textId="77777777" w:rsidR="00D84690" w:rsidRDefault="00D84690">
      <w:pPr>
        <w:spacing w:after="120"/>
      </w:pPr>
      <w:r>
        <w:rPr>
          <w:sz w:val="20"/>
        </w:rPr>
        <w:t>Thành phố Ninh Bình có 4.836,49 ha diện tích tự nhiên và 130.517 nhân khẩu, có 14 đơn vị hành chính trực thuộc, gồm các phường: Ninh Khánh, Đông Thành, Tân Thành, Vân Giang, Phúc Thành, Nam Thành, Thanh Bình, Nam Bình, Bích Đào, Ninh Phong, Ninh Sơn và các xã: Ninh Nhất, Ninh Tiến, Ninh Phúc.</w:t>
      </w:r>
    </w:p>
    <w:p w14:paraId="282033E8" w14:textId="77777777" w:rsidR="00D84690" w:rsidRDefault="00D84690">
      <w:pPr>
        <w:spacing w:after="120"/>
      </w:pPr>
      <w:r>
        <w:rPr>
          <w:b/>
          <w:bCs/>
          <w:sz w:val="20"/>
        </w:rPr>
        <w:t>Điều 2.</w:t>
      </w:r>
      <w:r>
        <w:rPr>
          <w:sz w:val="20"/>
        </w:rPr>
        <w:t xml:space="preserve"> Nghị định này có hiệu lực thi hành sau 15 ngày, kể từ ngày đăng Công báo. Những quy định trước đây trái với Nghị định này đều bãi bỏ.</w:t>
      </w:r>
    </w:p>
    <w:p w14:paraId="76740F8A" w14:textId="77777777" w:rsidR="00D84690" w:rsidRDefault="00D84690">
      <w:pPr>
        <w:spacing w:after="120"/>
      </w:pPr>
      <w:r>
        <w:rPr>
          <w:b/>
          <w:bCs/>
          <w:spacing w:val="-4"/>
          <w:sz w:val="20"/>
        </w:rPr>
        <w:t>Điều 3.</w:t>
      </w:r>
      <w:r>
        <w:rPr>
          <w:spacing w:val="-4"/>
          <w:sz w:val="20"/>
        </w:rPr>
        <w:t xml:space="preserve"> Bộ trưởng Bộ Nội vụ, Chủ tịch Ủy ban nhân dân tỉnh Ninh Bình và Thủ trưởng các cơ quan có liên quan chịu trách nhiệm thi hành Nghị định này./.</w:t>
      </w:r>
    </w:p>
    <w:p w14:paraId="5D850D2E" w14:textId="77777777" w:rsidR="00D84690" w:rsidRDefault="00D84690">
      <w:pPr>
        <w:spacing w:after="120"/>
      </w:pPr>
      <w:r>
        <w:rPr>
          <w:spacing w:val="-4"/>
          <w:sz w:val="20"/>
        </w:rPr>
        <w:t> </w:t>
      </w:r>
    </w:p>
    <w:tbl>
      <w:tblPr>
        <w:tblW w:w="8820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1"/>
        <w:gridCol w:w="4319"/>
      </w:tblGrid>
      <w:tr w:rsidR="00D84690" w14:paraId="7FC4720D" w14:textId="77777777">
        <w:tc>
          <w:tcPr>
            <w:tcW w:w="45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774DA" w14:textId="77777777" w:rsidR="00D84690" w:rsidRDefault="00D84690">
            <w:pPr>
              <w:spacing w:after="120"/>
            </w:pPr>
            <w:r>
              <w:rPr>
                <w:b/>
                <w:bCs/>
                <w:i/>
                <w:iCs/>
                <w:spacing w:val="-4"/>
                <w:sz w:val="20"/>
              </w:rPr>
              <w:t> </w:t>
            </w:r>
          </w:p>
          <w:p w14:paraId="3A2AB28D" w14:textId="77777777" w:rsidR="00D84690" w:rsidRDefault="00D84690">
            <w:r>
              <w:rPr>
                <w:b/>
                <w:bCs/>
                <w:i/>
                <w:iCs/>
                <w:spacing w:val="-4"/>
                <w:sz w:val="20"/>
              </w:rPr>
              <w:t>Nơi nhận:</w:t>
            </w:r>
            <w:r>
              <w:rPr>
                <w:i/>
                <w:iCs/>
                <w:spacing w:val="-4"/>
                <w:sz w:val="20"/>
              </w:rPr>
              <w:br/>
            </w:r>
            <w:r>
              <w:rPr>
                <w:spacing w:val="-4"/>
                <w:sz w:val="16"/>
              </w:rPr>
              <w:t>- Thủ tướng, các Phó Thủ tướng Chính phủ;</w:t>
            </w:r>
            <w:r>
              <w:rPr>
                <w:spacing w:val="-4"/>
                <w:sz w:val="16"/>
              </w:rPr>
              <w:br/>
              <w:t>- Ban Tổ chức Trung ương;</w:t>
            </w:r>
            <w:r>
              <w:rPr>
                <w:spacing w:val="-4"/>
                <w:sz w:val="16"/>
              </w:rPr>
              <w:br/>
              <w:t>- Hội đồng Dân tộc và UB Pháp luật của QH;</w:t>
            </w:r>
            <w:r>
              <w:rPr>
                <w:spacing w:val="-4"/>
                <w:sz w:val="16"/>
              </w:rPr>
              <w:br/>
              <w:t>- Các Bộ: Nội vụ, Công an, Quốc phòng,</w:t>
            </w:r>
            <w:r>
              <w:rPr>
                <w:spacing w:val="-4"/>
                <w:sz w:val="16"/>
              </w:rPr>
              <w:br/>
              <w:t> Tài nguyên và Môi trường,Tài chính,</w:t>
            </w:r>
            <w:r>
              <w:rPr>
                <w:spacing w:val="-4"/>
                <w:sz w:val="16"/>
              </w:rPr>
              <w:br/>
              <w:t> Giao thông vận tải, Kế hoạch và Đầu tư;</w:t>
            </w:r>
            <w:r>
              <w:rPr>
                <w:spacing w:val="-4"/>
                <w:sz w:val="16"/>
              </w:rPr>
              <w:br/>
              <w:t>- HĐND, UBND tỉnh Ninh Bình;</w:t>
            </w:r>
            <w:r>
              <w:rPr>
                <w:spacing w:val="-4"/>
                <w:sz w:val="16"/>
              </w:rPr>
              <w:br/>
              <w:t>- Tổng cục Thống kê (Bộ Kế hoạch và Đầu tư);</w:t>
            </w:r>
            <w:r>
              <w:rPr>
                <w:spacing w:val="-4"/>
                <w:sz w:val="16"/>
              </w:rPr>
              <w:br/>
              <w:t xml:space="preserve">- Cục Văn thư và Lưu trữ Nhà nước;  </w:t>
            </w:r>
            <w:r>
              <w:rPr>
                <w:spacing w:val="-4"/>
                <w:sz w:val="16"/>
              </w:rPr>
              <w:br/>
              <w:t xml:space="preserve">- VPCP: BTCN, các PCN, </w:t>
            </w:r>
            <w:r>
              <w:rPr>
                <w:spacing w:val="-4"/>
                <w:sz w:val="16"/>
              </w:rPr>
              <w:br/>
              <w:t> Website Chính phủ,</w:t>
            </w:r>
            <w:r>
              <w:rPr>
                <w:spacing w:val="-4"/>
                <w:sz w:val="16"/>
              </w:rPr>
              <w:br/>
              <w:t> các Vụ: ĐP, TCCB, TH, CN, NN, Công báo;</w:t>
            </w:r>
            <w:r>
              <w:rPr>
                <w:spacing w:val="-4"/>
                <w:sz w:val="16"/>
              </w:rPr>
              <w:br/>
              <w:t xml:space="preserve">- Lưu: Văn thư, NC (5b). Hà </w:t>
            </w:r>
            <w:r>
              <w:rPr>
                <w:spacing w:val="-4"/>
                <w:sz w:val="16"/>
              </w:rPr>
              <w:br/>
            </w:r>
          </w:p>
        </w:tc>
        <w:tc>
          <w:tcPr>
            <w:tcW w:w="43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09F85" w14:textId="77777777" w:rsidR="00D84690" w:rsidRDefault="00D84690">
            <w:pPr>
              <w:jc w:val="center"/>
            </w:pPr>
            <w:r>
              <w:rPr>
                <w:b/>
                <w:bCs/>
                <w:spacing w:val="-4"/>
                <w:sz w:val="20"/>
              </w:rPr>
              <w:t>TM. CHÍNH PHỦ</w:t>
            </w:r>
            <w:r>
              <w:rPr>
                <w:b/>
                <w:bCs/>
                <w:spacing w:val="-4"/>
                <w:sz w:val="20"/>
              </w:rPr>
              <w:br/>
              <w:t>THỦ TƯỚNG</w:t>
            </w:r>
            <w:r>
              <w:rPr>
                <w:b/>
                <w:bCs/>
                <w:spacing w:val="-4"/>
                <w:sz w:val="20"/>
              </w:rPr>
              <w:br/>
            </w:r>
            <w:r>
              <w:rPr>
                <w:b/>
                <w:bCs/>
                <w:spacing w:val="-4"/>
                <w:sz w:val="20"/>
              </w:rPr>
              <w:br/>
            </w:r>
            <w:r>
              <w:rPr>
                <w:b/>
                <w:bCs/>
                <w:spacing w:val="-4"/>
                <w:sz w:val="20"/>
              </w:rPr>
              <w:br/>
            </w:r>
            <w:r>
              <w:rPr>
                <w:b/>
                <w:bCs/>
                <w:spacing w:val="-4"/>
                <w:sz w:val="20"/>
              </w:rPr>
              <w:br/>
            </w:r>
            <w:r>
              <w:rPr>
                <w:b/>
                <w:bCs/>
                <w:spacing w:val="-4"/>
                <w:sz w:val="20"/>
              </w:rPr>
              <w:br/>
              <w:t>Nguyễn Tấn Dũng</w:t>
            </w:r>
          </w:p>
        </w:tc>
      </w:tr>
    </w:tbl>
    <w:p w14:paraId="2E585A87" w14:textId="77777777" w:rsidR="00D84690" w:rsidRDefault="00D84690">
      <w:pPr>
        <w:spacing w:after="120"/>
      </w:pPr>
      <w:r>
        <w:rPr>
          <w:sz w:val="20"/>
        </w:rPr>
        <w:t> </w:t>
      </w:r>
    </w:p>
    <w:sectPr w:rsidR="00D8469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A8B"/>
    <w:rsid w:val="006E5A8B"/>
    <w:rsid w:val="008F1C3F"/>
    <w:rsid w:val="00D8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D91F54"/>
  <w15:chartTrackingRefBased/>
  <w15:docId w15:val="{E2092F91-2E0E-4E04-9710-5C27E44C1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1735</Characters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2035</CharactersWithSpaces>
  <SharedDoc>false</SharedDoc>
  <HyperlinkBase>http://vanbanphapluat.co/nghi-dinh-177-2007-nd-cp-thanh-lap-phuong-ninh-son-thuoc-thanh-pho-ninh-binh-tinh-ninh-binh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1601-01-01T00:00:00Z</cp:lastPrinted>
  <dcterms:created xsi:type="dcterms:W3CDTF">2022-07-27T04:20:00Z</dcterms:created>
  <dcterms:modified xsi:type="dcterms:W3CDTF">2022-07-27T04:20:00Z</dcterms:modified>
</cp:coreProperties>
</file>