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6C6C">
            <w:pPr>
              <w:spacing w:before="120"/>
              <w:jc w:val="center"/>
            </w:pPr>
            <w:bookmarkStart w:id="0" w:name="_GoBack"/>
            <w:bookmarkEnd w:id="0"/>
            <w:r>
              <w:rPr>
                <w:b/>
                <w:bCs/>
              </w:rPr>
              <w:t>QUỐC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6C6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6C6C">
            <w:pPr>
              <w:spacing w:before="120"/>
              <w:jc w:val="center"/>
            </w:pPr>
            <w:r>
              <w:rPr>
                <w:lang w:val="vi-VN"/>
              </w:rPr>
              <w:t>Nghị quyết số: 38/2021/QH15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6C6C">
            <w:pPr>
              <w:spacing w:before="120"/>
              <w:jc w:val="right"/>
            </w:pPr>
            <w:r>
              <w:rPr>
                <w:i/>
                <w:iCs/>
                <w:lang w:val="vi-VN"/>
              </w:rPr>
              <w:t>Hà Nội, ngày 13 tháng 1</w:t>
            </w:r>
            <w:r>
              <w:rPr>
                <w:i/>
                <w:iCs/>
              </w:rPr>
              <w:t>1</w:t>
            </w:r>
            <w:r>
              <w:rPr>
                <w:i/>
                <w:iCs/>
                <w:lang w:val="vi-VN"/>
              </w:rPr>
              <w:t xml:space="preserve"> năm 2021</w:t>
            </w:r>
          </w:p>
        </w:tc>
      </w:tr>
    </w:tbl>
    <w:p w:rsidR="00000000" w:rsidRDefault="00A26C6C">
      <w:pPr>
        <w:spacing w:before="120" w:after="280" w:afterAutospacing="1"/>
      </w:pPr>
      <w:r>
        <w:t> </w:t>
      </w:r>
    </w:p>
    <w:p w:rsidR="00000000" w:rsidRDefault="00A26C6C">
      <w:pPr>
        <w:spacing w:before="120" w:after="280" w:afterAutospacing="1"/>
        <w:jc w:val="center"/>
      </w:pPr>
      <w:bookmarkStart w:id="1" w:name="loai_1"/>
      <w:r>
        <w:rPr>
          <w:b/>
          <w:bCs/>
          <w:lang w:val="vi-VN"/>
        </w:rPr>
        <w:t>NGHỊ QUYẾT</w:t>
      </w:r>
      <w:bookmarkEnd w:id="1"/>
    </w:p>
    <w:p w:rsidR="00000000" w:rsidRDefault="00A26C6C">
      <w:pPr>
        <w:spacing w:before="120" w:after="280" w:afterAutospacing="1"/>
        <w:jc w:val="center"/>
      </w:pPr>
      <w:bookmarkStart w:id="2" w:name="loai_1_name"/>
      <w:r>
        <w:rPr>
          <w:lang w:val="vi-VN"/>
        </w:rPr>
        <w:t>VỀ THÍ ĐIỂM MỘT SỐ CƠ CHẾ, CHÍNH SÁCH ĐẶC THÙ PHÁT TRIỂN TỈNH THỪA THIÊN HUẾ</w:t>
      </w:r>
      <w:bookmarkEnd w:id="2"/>
    </w:p>
    <w:p w:rsidR="00000000" w:rsidRDefault="00A26C6C">
      <w:pPr>
        <w:spacing w:before="120" w:after="280" w:afterAutospacing="1"/>
        <w:jc w:val="center"/>
      </w:pPr>
      <w:r>
        <w:rPr>
          <w:b/>
          <w:bCs/>
          <w:lang w:val="vi-VN"/>
        </w:rPr>
        <w:t xml:space="preserve">QUỐC </w:t>
      </w:r>
      <w:r>
        <w:rPr>
          <w:b/>
          <w:bCs/>
          <w:lang w:val="vi-VN"/>
        </w:rPr>
        <w:t>HỘI</w:t>
      </w:r>
    </w:p>
    <w:p w:rsidR="00000000" w:rsidRDefault="00A26C6C">
      <w:pPr>
        <w:spacing w:before="120" w:after="280" w:afterAutospacing="1"/>
      </w:pPr>
      <w:r>
        <w:rPr>
          <w:i/>
          <w:iCs/>
          <w:lang w:val="vi-VN"/>
        </w:rPr>
        <w:t>Căn cứ Hiến pháp nước Cộng hòa xã hội chủ nghĩa Việt Nam;</w:t>
      </w:r>
    </w:p>
    <w:p w:rsidR="00000000" w:rsidRDefault="00A26C6C">
      <w:pPr>
        <w:spacing w:before="120" w:after="280" w:afterAutospacing="1"/>
      </w:pPr>
      <w:r>
        <w:rPr>
          <w:i/>
          <w:iCs/>
          <w:lang w:val="vi-VN"/>
        </w:rPr>
        <w:t xml:space="preserve">Căn cứ Luật Ban hành văn bản quy phạm pháp luật </w:t>
      </w:r>
      <w:r>
        <w:rPr>
          <w:i/>
          <w:iCs/>
        </w:rPr>
        <w:t xml:space="preserve">số </w:t>
      </w:r>
      <w:r>
        <w:rPr>
          <w:i/>
          <w:iCs/>
          <w:lang w:val="vi-VN"/>
        </w:rPr>
        <w:t>80/2015/QH13 đã được sửa đổi, bổ sung một số điều theo Luật số 63/2020/QH14;</w:t>
      </w:r>
    </w:p>
    <w:p w:rsidR="00000000" w:rsidRDefault="00A26C6C">
      <w:pPr>
        <w:spacing w:before="120" w:after="280" w:afterAutospacing="1"/>
        <w:jc w:val="center"/>
      </w:pPr>
      <w:r>
        <w:rPr>
          <w:b/>
          <w:bCs/>
          <w:lang w:val="vi-VN"/>
        </w:rPr>
        <w:t>QUYẾT NGHỊ:</w:t>
      </w:r>
    </w:p>
    <w:p w:rsidR="00000000" w:rsidRDefault="00A26C6C">
      <w:pPr>
        <w:spacing w:before="120" w:after="280" w:afterAutospacing="1"/>
      </w:pPr>
      <w:bookmarkStart w:id="3" w:name="dieu_1"/>
      <w:r>
        <w:rPr>
          <w:b/>
          <w:bCs/>
          <w:lang w:val="vi-VN"/>
        </w:rPr>
        <w:t>Điều 1. Phạm vi điều chỉnh</w:t>
      </w:r>
      <w:bookmarkEnd w:id="3"/>
    </w:p>
    <w:p w:rsidR="00000000" w:rsidRDefault="00A26C6C">
      <w:pPr>
        <w:spacing w:before="120" w:after="280" w:afterAutospacing="1"/>
      </w:pPr>
      <w:r>
        <w:rPr>
          <w:lang w:val="vi-VN"/>
        </w:rPr>
        <w:t>Nghị quyết này quy định thí</w:t>
      </w:r>
      <w:r>
        <w:rPr>
          <w:lang w:val="vi-VN"/>
        </w:rPr>
        <w:t xml:space="preserve"> điểm một số cơ chế, chính sách đặc thù đối với tỉnh Thừa Thiên Huế về quản lý tài chính, ngân sách nhà nước.</w:t>
      </w:r>
    </w:p>
    <w:p w:rsidR="00000000" w:rsidRDefault="00A26C6C">
      <w:pPr>
        <w:spacing w:before="120" w:after="280" w:afterAutospacing="1"/>
      </w:pPr>
      <w:bookmarkStart w:id="4" w:name="dieu_2"/>
      <w:r>
        <w:rPr>
          <w:b/>
          <w:bCs/>
          <w:lang w:val="vi-VN"/>
        </w:rPr>
        <w:t>Điều 2. Đối tượng áp dụng</w:t>
      </w:r>
      <w:bookmarkEnd w:id="4"/>
    </w:p>
    <w:p w:rsidR="00000000" w:rsidRDefault="00A26C6C">
      <w:pPr>
        <w:spacing w:before="120" w:after="280" w:afterAutospacing="1"/>
      </w:pPr>
      <w:r>
        <w:rPr>
          <w:lang w:val="vi-VN"/>
        </w:rPr>
        <w:t xml:space="preserve">1. Cơ quan nhà nước; tổ chức </w:t>
      </w:r>
      <w:r>
        <w:t xml:space="preserve">chính </w:t>
      </w:r>
      <w:r>
        <w:rPr>
          <w:lang w:val="vi-VN"/>
        </w:rPr>
        <w:t>trị; tổ chức chính trị - xã hội.</w:t>
      </w:r>
    </w:p>
    <w:p w:rsidR="00000000" w:rsidRDefault="00A26C6C">
      <w:pPr>
        <w:spacing w:before="120" w:after="280" w:afterAutospacing="1"/>
      </w:pPr>
      <w:r>
        <w:rPr>
          <w:lang w:val="vi-VN"/>
        </w:rPr>
        <w:t xml:space="preserve">2. Tổ chức chính trị xã hội - nghề nghiệp; tổ chức </w:t>
      </w:r>
      <w:r>
        <w:t>x</w:t>
      </w:r>
      <w:r>
        <w:t xml:space="preserve">ã </w:t>
      </w:r>
      <w:r>
        <w:rPr>
          <w:lang w:val="vi-VN"/>
        </w:rPr>
        <w:t>hội; tổ chức xã hội - nghề nghiệp.</w:t>
      </w:r>
    </w:p>
    <w:p w:rsidR="00000000" w:rsidRDefault="00A26C6C">
      <w:pPr>
        <w:spacing w:before="120" w:after="280" w:afterAutospacing="1"/>
      </w:pPr>
      <w:r>
        <w:rPr>
          <w:lang w:val="vi-VN"/>
        </w:rPr>
        <w:t>3. Tổ chức, cá nhân khác có liên quan.</w:t>
      </w:r>
    </w:p>
    <w:p w:rsidR="00000000" w:rsidRDefault="00A26C6C">
      <w:pPr>
        <w:spacing w:before="120" w:after="280" w:afterAutospacing="1"/>
      </w:pPr>
      <w:bookmarkStart w:id="5" w:name="dieu_3"/>
      <w:r>
        <w:rPr>
          <w:b/>
          <w:bCs/>
          <w:lang w:val="vi-VN"/>
        </w:rPr>
        <w:t>Điều 3. Quản lý tài chính, ngân sách nhà nước</w:t>
      </w:r>
      <w:bookmarkEnd w:id="5"/>
    </w:p>
    <w:p w:rsidR="00000000" w:rsidRDefault="00A26C6C">
      <w:pPr>
        <w:spacing w:before="120" w:after="280" w:afterAutospacing="1"/>
      </w:pPr>
      <w:r>
        <w:rPr>
          <w:lang w:val="vi-VN"/>
        </w:rPr>
        <w:t>1. Tỉnh Thừa Thiên Huế được vay thông qua phát hành trái phiếu chính quyền địa phương, vay từ các tổ chức tài chính trong nước, các tổ</w:t>
      </w:r>
      <w:r>
        <w:rPr>
          <w:lang w:val="vi-VN"/>
        </w:rPr>
        <w:t xml:space="preserve"> chức khác trong nước và từ nguồn vay nước ngoài của Chính phủ vay về cho Tỉnh vay lại với tổng mức dư nợ vay không vượt quá 40% </w:t>
      </w:r>
      <w:r>
        <w:t xml:space="preserve">số </w:t>
      </w:r>
      <w:r>
        <w:rPr>
          <w:lang w:val="vi-VN"/>
        </w:rPr>
        <w:t>thu ngân sách Tỉnh được hưởng theo phân cấp. Tổng mức vay và bội chi ngân sách Tỉnh hằng năm do Quốc hội quyết định theo quy</w:t>
      </w:r>
      <w:r>
        <w:rPr>
          <w:lang w:val="vi-VN"/>
        </w:rPr>
        <w:t xml:space="preserve"> định của Luật Ngân sách nhà nước.</w:t>
      </w:r>
    </w:p>
    <w:p w:rsidR="00000000" w:rsidRDefault="00A26C6C">
      <w:pPr>
        <w:spacing w:before="120" w:after="280" w:afterAutospacing="1"/>
      </w:pPr>
      <w:r>
        <w:rPr>
          <w:lang w:val="vi-VN"/>
        </w:rPr>
        <w:t>2. Hằng năm, ngân sách trung ương bổ sung có mục tiêu cho ngân sách tỉnh Thừa Thiên Huế không quá 70% số tăng thu từ hoạt động xuất khẩu, nhập khẩu của hàng hóa xuất khẩu, nhập khẩu so với dự toán Thủ tướng Chính phủ giao</w:t>
      </w:r>
      <w:r>
        <w:rPr>
          <w:lang w:val="vi-VN"/>
        </w:rPr>
        <w:t xml:space="preserve"> (không bao gồm thuế giá trị gia tăng của hàng hóa nhập khẩu), nhưng không vượt quá tổng số tăng thu từ hoạt động xuất khẩu, nhập khẩu so </w:t>
      </w:r>
      <w:r>
        <w:rPr>
          <w:lang w:val="vi-VN"/>
        </w:rPr>
        <w:lastRenderedPageBreak/>
        <w:t>với số thu thực hiện thu năm trước và ngân sách trung ương không hụt thu để thực hiện các dự án đầu tư kết cấu hạ tầng</w:t>
      </w:r>
      <w:r>
        <w:rPr>
          <w:lang w:val="vi-VN"/>
        </w:rPr>
        <w:t xml:space="preserve"> của địa phương.</w:t>
      </w:r>
    </w:p>
    <w:p w:rsidR="00000000" w:rsidRDefault="00A26C6C">
      <w:pPr>
        <w:spacing w:before="120" w:after="280" w:afterAutospacing="1"/>
      </w:pPr>
      <w:r>
        <w:rPr>
          <w:lang w:val="vi-VN"/>
        </w:rPr>
        <w:t xml:space="preserve">3. Ngân sách tỉnh Thừa Thiên Huế được hưởng 50% khoản thu tiền sử dụng đất khi bán tài sản công gắn liền trên đất theo quy định của Luật Quản lý, sử dụng tài sản công (sau khi đã trừ chi phí liên quan đến việc bán tài sản trên đất, </w:t>
      </w:r>
      <w:r>
        <w:t xml:space="preserve">chuyển </w:t>
      </w:r>
      <w:r>
        <w:rPr>
          <w:lang w:val="vi-VN"/>
        </w:rPr>
        <w:t xml:space="preserve">nhượng quyền sử dụng đất; kinh phí di dời, xây dựng cơ sở vật chất tại địa </w:t>
      </w:r>
      <w:r>
        <w:t xml:space="preserve">điểm </w:t>
      </w:r>
      <w:r>
        <w:rPr>
          <w:lang w:val="vi-VN"/>
        </w:rPr>
        <w:t xml:space="preserve">mới) do cơ quan, tổ chức, đơn vị thuộc Trung ương quản lý trên địa bàn tỉnh Thừa Thiên Huế (trừ cơ quan, đơn vị thuộc lĩnh vực quốc phòng, an ninh) </w:t>
      </w:r>
      <w:r>
        <w:t xml:space="preserve">để </w:t>
      </w:r>
      <w:r>
        <w:rPr>
          <w:lang w:val="vi-VN"/>
        </w:rPr>
        <w:t xml:space="preserve">đầu tư phát </w:t>
      </w:r>
      <w:r>
        <w:t xml:space="preserve">triển </w:t>
      </w:r>
      <w:r>
        <w:rPr>
          <w:lang w:val="vi-VN"/>
        </w:rPr>
        <w:t>hạ tầng</w:t>
      </w:r>
      <w:r>
        <w:rPr>
          <w:lang w:val="vi-VN"/>
        </w:rPr>
        <w:t xml:space="preserve"> kinh </w:t>
      </w:r>
      <w:r>
        <w:t xml:space="preserve">tế </w:t>
      </w:r>
      <w:r>
        <w:rPr>
          <w:lang w:val="vi-VN"/>
        </w:rPr>
        <w:t>- xã hội thuộc nhiệm vụ đầu tư công của tỉnh Thừa Thiên Huế.</w:t>
      </w:r>
    </w:p>
    <w:p w:rsidR="00000000" w:rsidRDefault="00A26C6C">
      <w:pPr>
        <w:spacing w:before="120" w:after="280" w:afterAutospacing="1"/>
      </w:pPr>
      <w:r>
        <w:rPr>
          <w:lang w:val="vi-VN"/>
        </w:rPr>
        <w:t xml:space="preserve">4. Tỉnh Thừa Thiên Huế được phân </w:t>
      </w:r>
      <w:r>
        <w:t>bổ</w:t>
      </w:r>
      <w:r>
        <w:rPr>
          <w:lang w:val="vi-VN"/>
        </w:rPr>
        <w:t xml:space="preserve"> thêm 45% </w:t>
      </w:r>
      <w:r>
        <w:t xml:space="preserve">số </w:t>
      </w:r>
      <w:r>
        <w:rPr>
          <w:lang w:val="vi-VN"/>
        </w:rPr>
        <w:t>chi tính theo định mức dân số khi xây dựng định mức chi thường xuyên ngân sách nhà nước năm 2022 và trong thời gian thực hiện Nghị quyết n</w:t>
      </w:r>
      <w:r>
        <w:rPr>
          <w:lang w:val="vi-VN"/>
        </w:rPr>
        <w:t>ày.</w:t>
      </w:r>
    </w:p>
    <w:p w:rsidR="00000000" w:rsidRDefault="00A26C6C">
      <w:pPr>
        <w:spacing w:before="120" w:after="280" w:afterAutospacing="1"/>
      </w:pPr>
      <w:bookmarkStart w:id="6" w:name="dieu_4"/>
      <w:r>
        <w:rPr>
          <w:b/>
          <w:bCs/>
          <w:lang w:val="vi-VN"/>
        </w:rPr>
        <w:t>Điều 4. Phí tham quan di tích</w:t>
      </w:r>
      <w:bookmarkEnd w:id="6"/>
    </w:p>
    <w:p w:rsidR="00000000" w:rsidRDefault="00A26C6C">
      <w:pPr>
        <w:spacing w:before="120" w:after="280" w:afterAutospacing="1"/>
      </w:pPr>
      <w:r>
        <w:rPr>
          <w:lang w:val="vi-VN"/>
        </w:rPr>
        <w:t xml:space="preserve">Phí thăm quan di tích trên địa bàn tỉnh Thừa Thiên Huế được nộp đầy đủ vào ngân sách nhà nước (sau khi trừ chi phí được trích </w:t>
      </w:r>
      <w:r>
        <w:t xml:space="preserve">để </w:t>
      </w:r>
      <w:r>
        <w:rPr>
          <w:lang w:val="vi-VN"/>
        </w:rPr>
        <w:t>lại cho đơn vị sự nghiệp công lập để trang trải chi phí hoạt động cung cấp dịch vụ thu phí th</w:t>
      </w:r>
      <w:r>
        <w:rPr>
          <w:lang w:val="vi-VN"/>
        </w:rPr>
        <w:t xml:space="preserve">eo quy định của pháp luật về phí và lệ phí). Ngân sách địa phương </w:t>
      </w:r>
      <w:r>
        <w:t xml:space="preserve">được bố </w:t>
      </w:r>
      <w:r>
        <w:rPr>
          <w:lang w:val="vi-VN"/>
        </w:rPr>
        <w:t xml:space="preserve">trí đầu tư tương ứng số thu phí thăm quan nộp vào ngân sách nhà nước </w:t>
      </w:r>
      <w:r>
        <w:t xml:space="preserve">để </w:t>
      </w:r>
      <w:r>
        <w:rPr>
          <w:lang w:val="vi-VN"/>
        </w:rPr>
        <w:t xml:space="preserve">thực hiện đầu tư trùng tu di tích lịch </w:t>
      </w:r>
      <w:r>
        <w:t xml:space="preserve">sử </w:t>
      </w:r>
      <w:r>
        <w:rPr>
          <w:lang w:val="vi-VN"/>
        </w:rPr>
        <w:t xml:space="preserve">- văn hóa trên địa bàn. Khoản thu này không dùng </w:t>
      </w:r>
      <w:r>
        <w:t xml:space="preserve">để </w:t>
      </w:r>
      <w:r>
        <w:rPr>
          <w:lang w:val="vi-VN"/>
        </w:rPr>
        <w:t>xác định tỷ lệ p</w:t>
      </w:r>
      <w:r>
        <w:rPr>
          <w:lang w:val="vi-VN"/>
        </w:rPr>
        <w:t xml:space="preserve">hần trăm (%) phân chia các khoản thu </w:t>
      </w:r>
      <w:r>
        <w:t xml:space="preserve">giữa </w:t>
      </w:r>
      <w:r>
        <w:rPr>
          <w:lang w:val="vi-VN"/>
        </w:rPr>
        <w:t xml:space="preserve">ngân sách trung ương với ngân sách địa phương và số bổ sung cân </w:t>
      </w:r>
      <w:r>
        <w:t xml:space="preserve">đối </w:t>
      </w:r>
      <w:r>
        <w:rPr>
          <w:lang w:val="vi-VN"/>
        </w:rPr>
        <w:t>từ ngân sách trung ương cho ngân sách địa phương.</w:t>
      </w:r>
    </w:p>
    <w:p w:rsidR="00000000" w:rsidRDefault="00A26C6C">
      <w:pPr>
        <w:spacing w:before="120" w:after="280" w:afterAutospacing="1"/>
      </w:pPr>
      <w:bookmarkStart w:id="7" w:name="dieu_5"/>
      <w:r>
        <w:rPr>
          <w:b/>
          <w:bCs/>
          <w:lang w:val="vi-VN"/>
        </w:rPr>
        <w:t>Điều 5. Quỹ bảo tồn di sản Huế</w:t>
      </w:r>
      <w:bookmarkEnd w:id="7"/>
    </w:p>
    <w:p w:rsidR="00000000" w:rsidRDefault="00A26C6C">
      <w:pPr>
        <w:spacing w:before="120" w:after="280" w:afterAutospacing="1"/>
      </w:pPr>
      <w:r>
        <w:rPr>
          <w:lang w:val="vi-VN"/>
        </w:rPr>
        <w:t>1. Cho phép thành lập Quỹ bảo tồn di sản Huế để bổ sung nguồn lực</w:t>
      </w:r>
      <w:r>
        <w:rPr>
          <w:lang w:val="vi-VN"/>
        </w:rPr>
        <w:t xml:space="preserve"> phục vụ công tác trùng tu, bảo tồn di sản văn hóa trên địa bàn tỉnh Thừa Thiên Huế. Quỹ bảo tồn di sản Huế là Quỹ Quốc gia được Chính phủ thành lập và giao cho tỉnh Thừa Thiên Huế trực tiếp quản lý.</w:t>
      </w:r>
    </w:p>
    <w:p w:rsidR="00000000" w:rsidRDefault="00A26C6C">
      <w:pPr>
        <w:spacing w:before="120" w:after="280" w:afterAutospacing="1"/>
      </w:pPr>
      <w:r>
        <w:rPr>
          <w:lang w:val="vi-VN"/>
        </w:rPr>
        <w:t>2. Quỹ bảo tồn di sản Huế được tiếp nhận từ nguồn ngân s</w:t>
      </w:r>
      <w:r>
        <w:rPr>
          <w:lang w:val="vi-VN"/>
        </w:rPr>
        <w:t xml:space="preserve">ách nhà nước của các tỉnh, thành phố trực thuộc trung ương hỗ trợ, nguồn tài trợ của các tổ chức, cá nhân trong và ngoài nước và các nguồn thu hợp pháp khác. Không sử dụng ngân sách của tỉnh Thừa Thiên Huế để hỗ trợ </w:t>
      </w:r>
      <w:r>
        <w:t>Quỹ</w:t>
      </w:r>
      <w:r>
        <w:rPr>
          <w:lang w:val="vi-VN"/>
        </w:rPr>
        <w:t>. Nguồn thu của Quỹ chỉ dùng để đầu t</w:t>
      </w:r>
      <w:r>
        <w:rPr>
          <w:lang w:val="vi-VN"/>
        </w:rPr>
        <w:t>ư cho trùng tu, bảo tồn, phát triển giá trị di sản Huế và đầu tư cho các công trình, hạng mục chưa được ngân sách nhà nước đầu tư hoặc đầu tư chưa đủ.</w:t>
      </w:r>
    </w:p>
    <w:p w:rsidR="00000000" w:rsidRDefault="00A26C6C">
      <w:pPr>
        <w:spacing w:before="120" w:after="280" w:afterAutospacing="1"/>
      </w:pPr>
      <w:r>
        <w:rPr>
          <w:lang w:val="vi-VN"/>
        </w:rPr>
        <w:t xml:space="preserve">3. Các tỉnh, thành phố trực thuộc trung ương được sử dụng ngân sách địa phương để hỗ trợ cho Quỹ bảo tồn </w:t>
      </w:r>
      <w:r>
        <w:rPr>
          <w:lang w:val="vi-VN"/>
        </w:rPr>
        <w:t xml:space="preserve">di sản </w:t>
      </w:r>
      <w:r>
        <w:t xml:space="preserve">Huế </w:t>
      </w:r>
      <w:r>
        <w:rPr>
          <w:lang w:val="vi-VN"/>
        </w:rPr>
        <w:t xml:space="preserve">thực hiện trùng tu, bảo tồn và phát huy giá trị di sản </w:t>
      </w:r>
      <w:r>
        <w:t>Huế</w:t>
      </w:r>
      <w:r>
        <w:rPr>
          <w:lang w:val="vi-VN"/>
        </w:rPr>
        <w:t>.</w:t>
      </w:r>
    </w:p>
    <w:p w:rsidR="00000000" w:rsidRDefault="00A26C6C">
      <w:pPr>
        <w:spacing w:before="120" w:after="280" w:afterAutospacing="1"/>
      </w:pPr>
      <w:bookmarkStart w:id="8" w:name="khoan_4_5"/>
      <w:r>
        <w:rPr>
          <w:lang w:val="vi-VN"/>
        </w:rPr>
        <w:t>4. Chính phủ quy định chi tiết việc thành lập và quy chế hoạt động của Quỹ.</w:t>
      </w:r>
      <w:bookmarkEnd w:id="8"/>
    </w:p>
    <w:p w:rsidR="00000000" w:rsidRDefault="00A26C6C">
      <w:pPr>
        <w:spacing w:before="120" w:after="280" w:afterAutospacing="1"/>
      </w:pPr>
      <w:bookmarkStart w:id="9" w:name="dieu_6"/>
      <w:r>
        <w:rPr>
          <w:b/>
          <w:bCs/>
          <w:lang w:val="vi-VN"/>
        </w:rPr>
        <w:t>Điều 6. Tổ chức thực hiện</w:t>
      </w:r>
      <w:bookmarkEnd w:id="9"/>
    </w:p>
    <w:p w:rsidR="00000000" w:rsidRDefault="00A26C6C">
      <w:pPr>
        <w:spacing w:before="120" w:after="280" w:afterAutospacing="1"/>
      </w:pPr>
      <w:r>
        <w:rPr>
          <w:lang w:val="vi-VN"/>
        </w:rPr>
        <w:t>1. Chính phủ, trong phạm vi nhiệm vụ, quyền hạn của mình, có trách nhiệm tổ chức th</w:t>
      </w:r>
      <w:r>
        <w:rPr>
          <w:lang w:val="vi-VN"/>
        </w:rPr>
        <w:t>ực hiện Nghị quyết này; sơ kết 03 năm việc thực hiện Nghị quyết, báo cáo Quốc hội tại kỳ họp cuối năm 2024; tổng kết việc thực hiện Nghị quyết, báo cáo Quốc hội tại kỳ họp cuối năm 2026.</w:t>
      </w:r>
    </w:p>
    <w:p w:rsidR="00000000" w:rsidRDefault="00A26C6C">
      <w:pPr>
        <w:spacing w:before="120" w:after="280" w:afterAutospacing="1"/>
      </w:pPr>
      <w:r>
        <w:rPr>
          <w:lang w:val="vi-VN"/>
        </w:rPr>
        <w:lastRenderedPageBreak/>
        <w:t>2. Ủy ban Thường vụ Quốc hội, Hội đồng Dân tộc, các Ủy ban của Quốc h</w:t>
      </w:r>
      <w:r>
        <w:rPr>
          <w:lang w:val="vi-VN"/>
        </w:rPr>
        <w:t>ội, Đoàn đại biểu Quốc hội tỉnh Thừa Thiên Huế và đại biểu Quốc hội, trong phạm vi nhiệm vụ, quyền hạn của mình, giám sát việc thực hiện Nghị quyết này.</w:t>
      </w:r>
    </w:p>
    <w:p w:rsidR="00000000" w:rsidRDefault="00A26C6C">
      <w:pPr>
        <w:spacing w:before="120" w:after="280" w:afterAutospacing="1"/>
      </w:pPr>
      <w:bookmarkStart w:id="10" w:name="dieu_7"/>
      <w:r>
        <w:rPr>
          <w:b/>
          <w:bCs/>
          <w:lang w:val="vi-VN"/>
        </w:rPr>
        <w:t>Điều 7. Điều khoản thi hành</w:t>
      </w:r>
      <w:bookmarkEnd w:id="10"/>
    </w:p>
    <w:p w:rsidR="00000000" w:rsidRDefault="00A26C6C">
      <w:pPr>
        <w:spacing w:before="120" w:after="280" w:afterAutospacing="1"/>
      </w:pPr>
      <w:r>
        <w:rPr>
          <w:lang w:val="vi-VN"/>
        </w:rPr>
        <w:t>1. Nghị quyết này có hiệu lực thi hành từ ngày 01 tháng 01 năm 2022 và thực</w:t>
      </w:r>
      <w:r>
        <w:rPr>
          <w:lang w:val="vi-VN"/>
        </w:rPr>
        <w:t xml:space="preserve"> hiện trong 05 năm.</w:t>
      </w:r>
    </w:p>
    <w:p w:rsidR="00000000" w:rsidRDefault="00A26C6C">
      <w:pPr>
        <w:spacing w:before="120" w:after="280" w:afterAutospacing="1"/>
      </w:pPr>
      <w:r>
        <w:rPr>
          <w:lang w:val="vi-VN"/>
        </w:rPr>
        <w:t>2. Trường hợp có quy định khác nhau về cùng một vấn đề giữa Nghị quyết này với luật, nghị quyết khác của Quốc hội thì áp dụng theo quy định của Nghị quyết này. Trường hợp văn bản quy phạm pháp luật ban hành sau ngày Nghị quyết này có hi</w:t>
      </w:r>
      <w:r>
        <w:rPr>
          <w:lang w:val="vi-VN"/>
        </w:rPr>
        <w:t xml:space="preserve">ệu lực thi hành có quy định cơ chế, chính sách ưu </w:t>
      </w:r>
      <w:r>
        <w:t xml:space="preserve">đãi </w:t>
      </w:r>
      <w:r>
        <w:rPr>
          <w:lang w:val="vi-VN"/>
        </w:rPr>
        <w:t>hoặc thuận lợi hơn Nghị quyết này thì việc áp dụng do Hội đồng nhân dân tỉnh Thừa Thiên Huế quyết định.</w:t>
      </w:r>
    </w:p>
    <w:p w:rsidR="00000000" w:rsidRDefault="00A26C6C">
      <w:pPr>
        <w:spacing w:before="120" w:after="280" w:afterAutospacing="1"/>
      </w:pPr>
      <w:r>
        <w:rPr>
          <w:i/>
          <w:iCs/>
          <w:lang w:val="vi-VN"/>
        </w:rPr>
        <w:t>Nghị quyết này được Quốc hội nước Cộng hòa xã hội chủ nghĩa Việt Nam khóa XV, kỳ họp thứ 2 thông q</w:t>
      </w:r>
      <w:r>
        <w:rPr>
          <w:i/>
          <w:iCs/>
          <w:lang w:val="vi-VN"/>
        </w:rPr>
        <w:t>ua ngày 13 tháng 11 năm 2021.</w:t>
      </w:r>
    </w:p>
    <w:p w:rsidR="00000000" w:rsidRDefault="00A26C6C">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6C6C">
            <w:pPr>
              <w:spacing w:before="120" w:after="280" w:afterAutospacing="1"/>
            </w:pPr>
            <w:r>
              <w:rPr>
                <w:lang w:val="vi-VN"/>
              </w:rPr>
              <w:t> </w:t>
            </w:r>
          </w:p>
          <w:p w:rsidR="00000000" w:rsidRDefault="00A26C6C">
            <w:pPr>
              <w:spacing w:before="120" w:after="280" w:afterAutospacing="1"/>
            </w:pPr>
            <w:r>
              <w:t> </w:t>
            </w:r>
          </w:p>
          <w:p w:rsidR="00000000" w:rsidRDefault="00A26C6C">
            <w:pPr>
              <w:spacing w:before="120"/>
            </w:pPr>
            <w:r>
              <w:t>Epas: 88824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6C6C">
            <w:pPr>
              <w:spacing w:before="120"/>
              <w:jc w:val="center"/>
            </w:pPr>
            <w:r>
              <w:rPr>
                <w:b/>
                <w:bCs/>
              </w:rPr>
              <w:t>CHỦ TỊCH QUỐC HỘI</w:t>
            </w:r>
            <w:r>
              <w:rPr>
                <w:b/>
                <w:bCs/>
              </w:rPr>
              <w:br/>
            </w:r>
            <w:r>
              <w:rPr>
                <w:i/>
                <w:iCs/>
              </w:rPr>
              <w:br/>
            </w:r>
            <w:r>
              <w:br/>
            </w:r>
            <w:r>
              <w:br/>
            </w:r>
            <w:r>
              <w:br/>
            </w:r>
            <w:r>
              <w:rPr>
                <w:b/>
                <w:bCs/>
              </w:rPr>
              <w:t>Vương Đình Huệ</w:t>
            </w:r>
          </w:p>
        </w:tc>
      </w:tr>
    </w:tbl>
    <w:p w:rsidR="00A26C6C" w:rsidRDefault="00A26C6C">
      <w:pPr>
        <w:spacing w:before="120" w:after="280" w:afterAutospacing="1"/>
      </w:pPr>
      <w:r>
        <w:rPr>
          <w:b/>
          <w:bCs/>
          <w:lang w:val="vi-VN"/>
        </w:rPr>
        <w:t> </w:t>
      </w:r>
    </w:p>
    <w:sectPr w:rsidR="00A26C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03"/>
    <w:rsid w:val="00A26C6C"/>
    <w:rsid w:val="00EC72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2022-10-27T10:38:00Z</dcterms:created>
  <dcterms:modified xsi:type="dcterms:W3CDTF">2022-10-27T10:38:00Z</dcterms:modified>
</cp:coreProperties>
</file>