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72DDD0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2C13A09" w14:textId="77777777" w:rsidR="00000000" w:rsidRDefault="00A96151">
            <w:pPr>
              <w:jc w:val="center"/>
            </w:pPr>
            <w:bookmarkStart w:id="0" w:name="_GoBack"/>
            <w:bookmarkEnd w:id="0"/>
            <w:r>
              <w:rPr>
                <w:b/>
                <w:bCs/>
              </w:rPr>
              <w:t>BỘ LAO ĐỘNG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DC6579" w14:textId="77777777" w:rsidR="00000000" w:rsidRDefault="00A96151">
            <w:pPr>
              <w:jc w:val="center"/>
            </w:pPr>
            <w:r>
              <w:rPr>
                <w:b/>
                <w:bCs/>
              </w:rPr>
              <w:t>VIỆT NAM DÂN CHỦ CỘNG HÒA</w:t>
            </w:r>
            <w:r>
              <w:rPr>
                <w:b/>
                <w:bCs/>
              </w:rPr>
              <w:br/>
              <w:t>Độc lập - Tự do - Hạnh phúc</w:t>
            </w:r>
            <w:r>
              <w:rPr>
                <w:b/>
                <w:bCs/>
              </w:rPr>
              <w:br/>
            </w:r>
            <w:r>
              <w:t xml:space="preserve">******** </w:t>
            </w:r>
          </w:p>
        </w:tc>
      </w:tr>
      <w:tr w:rsidR="00000000" w14:paraId="2F75280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860C92" w14:textId="77777777" w:rsidR="00000000" w:rsidRDefault="00A96151">
            <w:pPr>
              <w:jc w:val="center"/>
            </w:pPr>
            <w:r>
              <w:t xml:space="preserve">Số: 32-LĐ/TL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9D1682" w14:textId="77777777" w:rsidR="00000000" w:rsidRDefault="00A96151">
            <w:pPr>
              <w:jc w:val="right"/>
            </w:pPr>
            <w:r>
              <w:rPr>
                <w:i/>
                <w:iCs/>
              </w:rPr>
              <w:t>Hà Nội, ngày 29 tháng 04 năm 1958 </w:t>
            </w:r>
            <w:r>
              <w:t xml:space="preserve"> </w:t>
            </w:r>
          </w:p>
        </w:tc>
      </w:tr>
    </w:tbl>
    <w:p w14:paraId="3C8E8F15" w14:textId="77777777" w:rsidR="00000000" w:rsidRDefault="00A96151">
      <w:pPr>
        <w:spacing w:after="120"/>
      </w:pPr>
      <w:r>
        <w:rPr>
          <w:b/>
          <w:bCs/>
          <w:vanish/>
        </w:rPr>
        <w:t> </w:t>
      </w:r>
    </w:p>
    <w:p w14:paraId="4413E4FB" w14:textId="77777777" w:rsidR="00000000" w:rsidRDefault="00A96151">
      <w:pPr>
        <w:spacing w:after="120"/>
        <w:jc w:val="center"/>
      </w:pPr>
      <w:r>
        <w:rPr>
          <w:b/>
          <w:bCs/>
        </w:rPr>
        <w:t>NGHỊ ĐỊNH</w:t>
      </w:r>
    </w:p>
    <w:p w14:paraId="4A444E8B" w14:textId="77777777" w:rsidR="00000000" w:rsidRDefault="00A96151">
      <w:pPr>
        <w:spacing w:after="120"/>
        <w:jc w:val="center"/>
      </w:pPr>
      <w:r>
        <w:rPr>
          <w:bCs/>
        </w:rPr>
        <w:t>QUY ĐỊNH CHẾ ĐỘ TIỀN LƯƠNG VÀ CÁC CHẾ ĐỘ LAO ĐỘNG ÁP DỤNG CHO CÁC CÔNG TRƯỜNG KIẾN THIẾT CƠ BẢN</w:t>
      </w:r>
    </w:p>
    <w:p w14:paraId="398610C6" w14:textId="77777777" w:rsidR="00000000" w:rsidRDefault="00A96151">
      <w:pPr>
        <w:spacing w:after="120"/>
        <w:jc w:val="center"/>
      </w:pPr>
      <w:r>
        <w:rPr>
          <w:b/>
          <w:bCs/>
        </w:rPr>
        <w:t>BỘ TRƯỞNG BỘ</w:t>
      </w:r>
      <w:r>
        <w:rPr>
          <w:b/>
          <w:bCs/>
        </w:rPr>
        <w:t xml:space="preserve"> LAO ĐỘNG</w:t>
      </w:r>
    </w:p>
    <w:p w14:paraId="673E5372" w14:textId="77777777" w:rsidR="00000000" w:rsidRDefault="00A96151">
      <w:pPr>
        <w:spacing w:after="120"/>
      </w:pPr>
      <w:r>
        <w:rPr>
          <w:i/>
          <w:iCs/>
        </w:rPr>
        <w:t>Căn cứ Nghị định số 182-TTg ngày 7 tháng 4 năm 1958 của Thủ tướng Chính phủ quy định chế độ tiền lương cho khu vực sản xuất;</w:t>
      </w:r>
      <w:r>
        <w:rPr>
          <w:i/>
          <w:iCs/>
        </w:rPr>
        <w:br/>
        <w:t>Căn cứ Nghị định số 215-TTg ngày 26 tháng 4 năm 1958 của Thủ tướng Chính phủ quy định Bộ Lao động sẽ ban hành chế độ tiền</w:t>
      </w:r>
      <w:r>
        <w:rPr>
          <w:i/>
          <w:iCs/>
        </w:rPr>
        <w:t xml:space="preserve"> lương và các chế độ lao động áp dụng cho các công trường kiến thiết cơ bản;</w:t>
      </w:r>
      <w:r>
        <w:rPr>
          <w:i/>
          <w:iCs/>
        </w:rPr>
        <w:br/>
        <w:t>Căn cứ vào tính chất công việc và điều kiện làm việc ở các công trường kiến thiết cơ bản;</w:t>
      </w:r>
    </w:p>
    <w:p w14:paraId="5D141C3F" w14:textId="77777777" w:rsidR="00000000" w:rsidRDefault="00A96151">
      <w:pPr>
        <w:spacing w:after="120"/>
        <w:jc w:val="center"/>
      </w:pPr>
      <w:r>
        <w:rPr>
          <w:b/>
          <w:bCs/>
        </w:rPr>
        <w:t>NGHỊ ĐỊNH:</w:t>
      </w:r>
    </w:p>
    <w:p w14:paraId="678C82F0" w14:textId="77777777" w:rsidR="00000000" w:rsidRDefault="00A96151">
      <w:pPr>
        <w:spacing w:after="120"/>
      </w:pPr>
      <w:bookmarkStart w:id="1" w:name="dieu_1"/>
      <w:r>
        <w:rPr>
          <w:b/>
          <w:bCs/>
        </w:rPr>
        <w:t>Điều 1.</w:t>
      </w:r>
      <w:r>
        <w:t xml:space="preserve"> - Kể từ ngày 01 tháng 3 năm 1958 tất cả công nhân, cán bộ, nhân viên l</w:t>
      </w:r>
      <w:r>
        <w:t>àm việc ở các công trường kiến thiết cơ bản sẽ được hưởng lương theo các thang lương quy định dưới đây.</w:t>
      </w:r>
      <w:bookmarkEnd w:id="1"/>
    </w:p>
    <w:p w14:paraId="14881A2A" w14:textId="77777777" w:rsidR="00000000" w:rsidRDefault="00A96151">
      <w:pPr>
        <w:spacing w:after="120"/>
      </w:pPr>
      <w:bookmarkStart w:id="2" w:name="dieu_2"/>
      <w:r>
        <w:rPr>
          <w:b/>
          <w:bCs/>
        </w:rPr>
        <w:t>Điều 2.</w:t>
      </w:r>
      <w:r>
        <w:t xml:space="preserve"> - Những công nhân chuyên nghiệp các công trường kiến thiết cơ bản sẽ được hưởng lương theo thang lương 7 bậc kèm theo Nghị định này.</w:t>
      </w:r>
      <w:bookmarkEnd w:id="2"/>
    </w:p>
    <w:p w14:paraId="44608317" w14:textId="77777777" w:rsidR="00000000" w:rsidRDefault="00A96151">
      <w:pPr>
        <w:spacing w:after="120"/>
      </w:pPr>
      <w:bookmarkStart w:id="3" w:name="dieu_3"/>
      <w:r>
        <w:rPr>
          <w:b/>
          <w:bCs/>
        </w:rPr>
        <w:t>Điều 3.</w:t>
      </w:r>
      <w:r>
        <w:t xml:space="preserve"> - N</w:t>
      </w:r>
      <w:r>
        <w:t>hững công nhân không chuyên nghiệp các công trường kiến thiết cơ bản sẽ hưởng lương theo thang lương 4 bậc kèm theo Nghị định này.</w:t>
      </w:r>
      <w:bookmarkEnd w:id="3"/>
    </w:p>
    <w:p w14:paraId="4591EE49" w14:textId="77777777" w:rsidR="00000000" w:rsidRDefault="00A96151">
      <w:pPr>
        <w:spacing w:after="120"/>
      </w:pPr>
      <w:bookmarkStart w:id="4" w:name="dieu_4"/>
      <w:r>
        <w:rPr>
          <w:b/>
          <w:bCs/>
        </w:rPr>
        <w:t xml:space="preserve">Điều 4. - </w:t>
      </w:r>
      <w:r>
        <w:t>Những nhân viên kỹ thuật làm công tác kỹ thuật trong ngành thiết kế cơ bản đều sắp xếp vào thang lương nhân viên kỹ</w:t>
      </w:r>
      <w:r>
        <w:t xml:space="preserve"> thuật, loại sản nghiệp II, ấn định tại Nghị định số 182-TTg ngày 07 tháng 4 năm 1958 của Thủ tướng Chính phủ.</w:t>
      </w:r>
      <w:bookmarkEnd w:id="4"/>
    </w:p>
    <w:p w14:paraId="0A6F33B3" w14:textId="77777777" w:rsidR="00000000" w:rsidRDefault="00A96151">
      <w:pPr>
        <w:spacing w:after="120"/>
      </w:pPr>
      <w:bookmarkStart w:id="5" w:name="dieu_5"/>
      <w:r>
        <w:rPr>
          <w:b/>
          <w:bCs/>
        </w:rPr>
        <w:t xml:space="preserve">Điều 5. - </w:t>
      </w:r>
      <w:r>
        <w:t>Những nhân viên hành chính, quản lý các công trường kiến thiết cơ bản sẽ được sắp xếp vào thang lương riêng do các Bộ có công trường cù</w:t>
      </w:r>
      <w:r>
        <w:t>ng Bộ Lao động ấn định.</w:t>
      </w:r>
      <w:bookmarkEnd w:id="5"/>
    </w:p>
    <w:p w14:paraId="671F10F3" w14:textId="77777777" w:rsidR="00000000" w:rsidRDefault="00A96151">
      <w:pPr>
        <w:spacing w:after="120"/>
      </w:pPr>
      <w:bookmarkStart w:id="6" w:name="dieu_6"/>
      <w:r>
        <w:rPr>
          <w:b/>
          <w:bCs/>
        </w:rPr>
        <w:t>Điều 6.</w:t>
      </w:r>
      <w:r>
        <w:t xml:space="preserve"> - Nay đặt một khoản phụ cấp 4% lương cấp bậc cho những tổ trưởng sản xuất, cán bộ tiểu đội, v.v…, vừa trực tiếp sản xuất, vừa phụ trách các bộ phận sản xuất từ 10 người trở lên ở các công trường kiến thiết cơ bản.</w:t>
      </w:r>
      <w:bookmarkEnd w:id="6"/>
    </w:p>
    <w:p w14:paraId="2DDA1996" w14:textId="77777777" w:rsidR="00000000" w:rsidRDefault="00A96151">
      <w:pPr>
        <w:spacing w:after="120"/>
      </w:pPr>
      <w:r>
        <w:t>Phụ cấp ch</w:t>
      </w:r>
      <w:r>
        <w:t>ức vụ mỗi tháng 1.200đ cho cán bộ trung đội, và 1.800đ cho cán bộ đại đội nay bãi bỏ.</w:t>
      </w:r>
    </w:p>
    <w:p w14:paraId="23146B22" w14:textId="77777777" w:rsidR="00000000" w:rsidRDefault="00A96151">
      <w:pPr>
        <w:spacing w:after="120"/>
      </w:pPr>
      <w:bookmarkStart w:id="7" w:name="dieu_7"/>
      <w:r>
        <w:rPr>
          <w:b/>
          <w:bCs/>
        </w:rPr>
        <w:t>Điều 7.</w:t>
      </w:r>
      <w:r>
        <w:t xml:space="preserve"> - Tiền công của công nhân thuê mượn tại chỗ cho các công trường kiến thiết cơ bản do Ủy ban Hành chính khu, thành phố, tỉnh ấn định và Bộ Lao động duyệt y, căn cứ</w:t>
      </w:r>
      <w:r>
        <w:t xml:space="preserve"> vào tình hình cụ thể của từng địa phương và dựa vào các thang lương 7 bậc và 4 bậc nói trong điều 2 và 3 của Nghị định này.</w:t>
      </w:r>
      <w:bookmarkEnd w:id="7"/>
    </w:p>
    <w:p w14:paraId="615EB072" w14:textId="77777777" w:rsidR="00000000" w:rsidRDefault="00A96151">
      <w:pPr>
        <w:spacing w:after="120"/>
      </w:pPr>
      <w:bookmarkStart w:id="8" w:name="dieu_8"/>
      <w:r>
        <w:rPr>
          <w:b/>
          <w:bCs/>
        </w:rPr>
        <w:t>Điều 8.</w:t>
      </w:r>
      <w:r>
        <w:t xml:space="preserve"> - Các chế độ lao động và các chi tiết thi hành chế độ tiền lương ở các công trường kiến thiết cơ bản sẽ ấn định trong một t</w:t>
      </w:r>
      <w:r>
        <w:t>hông tư riêng, căn cứ vào Nghị định 182-TTg ngày 07 tháng 4 năm 1958 của Thủ tướng Chính phủ và các văn bản hiện hành.</w:t>
      </w:r>
      <w:bookmarkEnd w:id="8"/>
    </w:p>
    <w:p w14:paraId="08A3EEFE" w14:textId="77777777" w:rsidR="00000000" w:rsidRDefault="00A96151">
      <w:pPr>
        <w:spacing w:after="120"/>
      </w:pPr>
      <w:r>
        <w:rPr>
          <w:b/>
          <w:bCs/>
        </w:rPr>
        <w:lastRenderedPageBreak/>
        <w:t>Điều 9.</w:t>
      </w:r>
      <w:r>
        <w:t xml:space="preserve"> - Các ông Chủ tịch Ủy ban Hành chính khu, thành phố, tỉnh, các ông Chánh văn phòng và Giám đốc Ban Thanh tra Bộ Lao động chiếu Ng</w:t>
      </w:r>
      <w:r>
        <w:t>hị định thi hành.</w:t>
      </w:r>
    </w:p>
    <w:p w14:paraId="14143721" w14:textId="77777777" w:rsidR="00000000" w:rsidRDefault="00A9615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8"/>
        <w:gridCol w:w="9032"/>
      </w:tblGrid>
      <w:tr w:rsidR="00000000" w14:paraId="2D81654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93B0F2" w14:textId="77777777" w:rsidR="00000000" w:rsidRDefault="00A9615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F82A73" w14:textId="77777777" w:rsidR="00000000" w:rsidRDefault="00A96151">
            <w:pPr>
              <w:jc w:val="center"/>
            </w:pPr>
            <w:r>
              <w:rPr>
                <w:b/>
                <w:bCs/>
              </w:rPr>
              <w:t>BỘ TRƯỞNG BỘ LAO ĐỘNG</w:t>
            </w:r>
            <w:r>
              <w:rPr>
                <w:b/>
                <w:bCs/>
              </w:rPr>
              <w:br/>
            </w:r>
            <w:r>
              <w:rPr>
                <w:b/>
                <w:bCs/>
              </w:rPr>
              <w:br/>
            </w:r>
            <w:r>
              <w:t> </w:t>
            </w:r>
            <w:r>
              <w:rPr>
                <w:b/>
                <w:bCs/>
              </w:rPr>
              <w:br/>
            </w:r>
            <w:r>
              <w:rPr>
                <w:b/>
                <w:bCs/>
              </w:rPr>
              <w:br/>
            </w:r>
            <w:r>
              <w:t> </w:t>
            </w:r>
            <w:r>
              <w:rPr>
                <w:b/>
                <w:bCs/>
              </w:rPr>
              <w:br/>
              <w:t>Nguyễn Văn Tạo</w:t>
            </w:r>
          </w:p>
        </w:tc>
      </w:tr>
    </w:tbl>
    <w:p w14:paraId="58164288" w14:textId="77777777" w:rsidR="00000000" w:rsidRDefault="00A96151">
      <w:pPr>
        <w:spacing w:after="120"/>
      </w:pPr>
      <w:r>
        <w:br/>
        <w:t> </w:t>
      </w:r>
      <w:r>
        <w:rPr>
          <w:b/>
          <w:bCs/>
        </w:rPr>
        <w:t>THANG LƯƠNG CÔNG NHÂN CHUYÊN NGHIỆP CÁC CÔNG TRƯỜNG KIẾN THIẾT CƠ BẢN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19"/>
        <w:gridCol w:w="3041"/>
        <w:gridCol w:w="3041"/>
      </w:tblGrid>
      <w:tr w:rsidR="00000000" w14:paraId="1E89AB41" w14:textId="77777777">
        <w:tc>
          <w:tcPr>
            <w:tcW w:w="30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34607" w14:textId="77777777" w:rsidR="00000000" w:rsidRDefault="00A96151">
            <w:pPr>
              <w:jc w:val="center"/>
            </w:pPr>
            <w:r>
              <w:t>BẬC</w:t>
            </w:r>
          </w:p>
        </w:tc>
        <w:tc>
          <w:tcPr>
            <w:tcW w:w="30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26697" w14:textId="77777777" w:rsidR="00000000" w:rsidRDefault="00A96151">
            <w:pPr>
              <w:jc w:val="center"/>
            </w:pPr>
            <w:r>
              <w:t>MỨC LƯƠNG THÁNG</w:t>
            </w:r>
          </w:p>
        </w:tc>
        <w:tc>
          <w:tcPr>
            <w:tcW w:w="30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685DA" w14:textId="77777777" w:rsidR="00000000" w:rsidRDefault="00A96151">
            <w:pPr>
              <w:jc w:val="center"/>
            </w:pPr>
            <w:r>
              <w:t>MỨC LƯƠNG NGÀY</w:t>
            </w:r>
          </w:p>
        </w:tc>
      </w:tr>
      <w:tr w:rsidR="00000000" w14:paraId="58D94B6C"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B92CA" w14:textId="77777777" w:rsidR="00000000" w:rsidRDefault="00A96151">
            <w:pPr>
              <w:jc w:val="center"/>
            </w:pPr>
            <w:r>
              <w:t>7</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B0F5E" w14:textId="77777777" w:rsidR="00000000" w:rsidRDefault="00A96151">
            <w:pPr>
              <w:jc w:val="center"/>
            </w:pPr>
            <w:r>
              <w:t>81.700đ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98E00" w14:textId="77777777" w:rsidR="00000000" w:rsidRDefault="00A96151">
            <w:pPr>
              <w:jc w:val="center"/>
            </w:pPr>
            <w:r>
              <w:t>3.130đ</w:t>
            </w:r>
          </w:p>
        </w:tc>
      </w:tr>
      <w:tr w:rsidR="00000000" w14:paraId="1EDF410C"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F5BA2" w14:textId="77777777" w:rsidR="00000000" w:rsidRDefault="00A96151">
            <w:pPr>
              <w:jc w:val="center"/>
            </w:pPr>
            <w:r>
              <w:t>6</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B10D1" w14:textId="77777777" w:rsidR="00000000" w:rsidRDefault="00A96151">
            <w:pPr>
              <w:jc w:val="center"/>
            </w:pPr>
            <w:r>
              <w:t>71.00đ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12041" w14:textId="77777777" w:rsidR="00000000" w:rsidRDefault="00A96151">
            <w:pPr>
              <w:jc w:val="center"/>
            </w:pPr>
            <w:r>
              <w:t>2.720đ</w:t>
            </w:r>
          </w:p>
        </w:tc>
      </w:tr>
      <w:tr w:rsidR="00000000" w14:paraId="001DFF95"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F1E55" w14:textId="77777777" w:rsidR="00000000" w:rsidRDefault="00A96151">
            <w:pPr>
              <w:jc w:val="center"/>
            </w:pPr>
            <w:r>
              <w:t>5</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B8CD4" w14:textId="77777777" w:rsidR="00000000" w:rsidRDefault="00A96151">
            <w:pPr>
              <w:jc w:val="center"/>
            </w:pPr>
            <w:r>
              <w:t>61.700đ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674DD" w14:textId="77777777" w:rsidR="00000000" w:rsidRDefault="00A96151">
            <w:pPr>
              <w:jc w:val="center"/>
            </w:pPr>
            <w:r>
              <w:t>2.360đ</w:t>
            </w:r>
          </w:p>
        </w:tc>
      </w:tr>
      <w:tr w:rsidR="00000000" w14:paraId="0F00CC76"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29A93" w14:textId="77777777" w:rsidR="00000000" w:rsidRDefault="00A96151">
            <w:pPr>
              <w:jc w:val="center"/>
            </w:pPr>
            <w:r>
              <w:t>4</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0A9A9" w14:textId="77777777" w:rsidR="00000000" w:rsidRDefault="00A96151">
            <w:pPr>
              <w:jc w:val="center"/>
            </w:pPr>
            <w:r>
              <w:t>53.700đ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97957" w14:textId="77777777" w:rsidR="00000000" w:rsidRDefault="00A96151">
            <w:pPr>
              <w:jc w:val="center"/>
            </w:pPr>
            <w:r>
              <w:t>2.060đ</w:t>
            </w:r>
          </w:p>
        </w:tc>
      </w:tr>
      <w:tr w:rsidR="00000000" w14:paraId="09D446BC"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073C8" w14:textId="77777777" w:rsidR="00000000" w:rsidRDefault="00A96151">
            <w:pPr>
              <w:jc w:val="center"/>
            </w:pPr>
            <w:r>
              <w:t>3</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679E1" w14:textId="77777777" w:rsidR="00000000" w:rsidRDefault="00A96151">
            <w:pPr>
              <w:jc w:val="center"/>
            </w:pPr>
            <w:r>
              <w:t>46.700đ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E6562" w14:textId="77777777" w:rsidR="00000000" w:rsidRDefault="00A96151">
            <w:pPr>
              <w:jc w:val="center"/>
            </w:pPr>
            <w:r>
              <w:t> </w:t>
            </w:r>
          </w:p>
        </w:tc>
      </w:tr>
      <w:tr w:rsidR="00000000" w14:paraId="6B11C4AB"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A3D97" w14:textId="77777777" w:rsidR="00000000" w:rsidRDefault="00A96151">
            <w:pPr>
              <w:jc w:val="center"/>
            </w:pPr>
            <w:r>
              <w:t>2</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9928A" w14:textId="77777777" w:rsidR="00000000" w:rsidRDefault="00A96151">
            <w:pPr>
              <w:jc w:val="center"/>
            </w:pPr>
            <w:r>
              <w:t>40.600đ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772F3" w14:textId="77777777" w:rsidR="00000000" w:rsidRDefault="00A96151">
            <w:pPr>
              <w:jc w:val="center"/>
            </w:pPr>
            <w:r>
              <w:t>1.560đ</w:t>
            </w:r>
          </w:p>
        </w:tc>
      </w:tr>
      <w:tr w:rsidR="00000000" w14:paraId="02F52B27"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2BFA5" w14:textId="77777777" w:rsidR="00000000" w:rsidRDefault="00A96151">
            <w:pPr>
              <w:jc w:val="center"/>
            </w:pPr>
            <w:r>
              <w:t>1</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EE998" w14:textId="77777777" w:rsidR="00000000" w:rsidRDefault="00A96151">
            <w:pPr>
              <w:jc w:val="center"/>
            </w:pPr>
            <w:r>
              <w:t>35.300đ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43F18" w14:textId="77777777" w:rsidR="00000000" w:rsidRDefault="00A96151">
            <w:pPr>
              <w:jc w:val="center"/>
            </w:pPr>
            <w:r>
              <w:t>1.350đ</w:t>
            </w:r>
          </w:p>
        </w:tc>
      </w:tr>
    </w:tbl>
    <w:p w14:paraId="128529D3" w14:textId="77777777" w:rsidR="00000000" w:rsidRDefault="00A96151">
      <w:pPr>
        <w:spacing w:after="120"/>
        <w:jc w:val="center"/>
      </w:pPr>
      <w:r>
        <w:t> </w:t>
      </w:r>
    </w:p>
    <w:p w14:paraId="19A22F0A" w14:textId="77777777" w:rsidR="00000000" w:rsidRDefault="00A96151">
      <w:pPr>
        <w:spacing w:after="120"/>
        <w:jc w:val="center"/>
      </w:pPr>
      <w:r>
        <w:rPr>
          <w:b/>
          <w:bCs/>
        </w:rPr>
        <w:t>THANG LƯƠNG CÔNG NHÂN KHÔNG CHUYÊN NGHIỆP CÁC CÔNG TRƯỜNG KIẾN THIẾT CƠ BẢN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19"/>
        <w:gridCol w:w="3041"/>
        <w:gridCol w:w="3041"/>
      </w:tblGrid>
      <w:tr w:rsidR="00000000" w14:paraId="073AEA1E" w14:textId="77777777">
        <w:tc>
          <w:tcPr>
            <w:tcW w:w="30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363A0" w14:textId="77777777" w:rsidR="00000000" w:rsidRDefault="00A96151">
            <w:pPr>
              <w:jc w:val="center"/>
            </w:pPr>
            <w:r>
              <w:t>BẬC</w:t>
            </w:r>
          </w:p>
        </w:tc>
        <w:tc>
          <w:tcPr>
            <w:tcW w:w="30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1FEE3" w14:textId="77777777" w:rsidR="00000000" w:rsidRDefault="00A96151">
            <w:pPr>
              <w:jc w:val="center"/>
            </w:pPr>
            <w:r>
              <w:t>MỨC LƯƠNG THÁNG</w:t>
            </w:r>
          </w:p>
        </w:tc>
        <w:tc>
          <w:tcPr>
            <w:tcW w:w="304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C3DC7" w14:textId="77777777" w:rsidR="00000000" w:rsidRDefault="00A96151">
            <w:pPr>
              <w:jc w:val="center"/>
            </w:pPr>
            <w:r>
              <w:t>MỨC LƯƠNG NGÀY</w:t>
            </w:r>
          </w:p>
        </w:tc>
      </w:tr>
      <w:tr w:rsidR="00000000" w14:paraId="584B6CA5"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426CF" w14:textId="77777777" w:rsidR="00000000" w:rsidRDefault="00A96151">
            <w:pPr>
              <w:jc w:val="center"/>
            </w:pPr>
            <w:r>
              <w:t>4</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1CFF5" w14:textId="77777777" w:rsidR="00000000" w:rsidRDefault="00A96151">
            <w:pPr>
              <w:jc w:val="center"/>
            </w:pPr>
            <w:r>
              <w:t>47.000đ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3AE1D" w14:textId="77777777" w:rsidR="00000000" w:rsidRDefault="00A96151">
            <w:pPr>
              <w:jc w:val="center"/>
            </w:pPr>
            <w:r>
              <w:t>1.800đ</w:t>
            </w:r>
          </w:p>
        </w:tc>
      </w:tr>
      <w:tr w:rsidR="00000000" w14:paraId="42B3191B"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3D52C" w14:textId="77777777" w:rsidR="00000000" w:rsidRDefault="00A96151">
            <w:pPr>
              <w:jc w:val="center"/>
            </w:pPr>
            <w:r>
              <w:t>3</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5F405" w14:textId="77777777" w:rsidR="00000000" w:rsidRDefault="00A96151">
            <w:pPr>
              <w:jc w:val="center"/>
            </w:pPr>
            <w:r>
              <w:t>40.000đ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F2109" w14:textId="77777777" w:rsidR="00000000" w:rsidRDefault="00A96151">
            <w:pPr>
              <w:jc w:val="center"/>
            </w:pPr>
            <w:r>
              <w:t>1.530đ</w:t>
            </w:r>
          </w:p>
        </w:tc>
      </w:tr>
      <w:tr w:rsidR="00000000" w14:paraId="6B9D5304"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6FB8B" w14:textId="77777777" w:rsidR="00000000" w:rsidRDefault="00A96151">
            <w:pPr>
              <w:jc w:val="center"/>
            </w:pPr>
            <w:r>
              <w:t>2</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D026D" w14:textId="77777777" w:rsidR="00000000" w:rsidRDefault="00A96151">
            <w:pPr>
              <w:jc w:val="center"/>
            </w:pPr>
            <w:r>
              <w:t>35.000đ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2DE0D" w14:textId="77777777" w:rsidR="00000000" w:rsidRDefault="00A96151">
            <w:pPr>
              <w:jc w:val="center"/>
            </w:pPr>
            <w:r>
              <w:t>1.340đ</w:t>
            </w:r>
          </w:p>
        </w:tc>
      </w:tr>
      <w:tr w:rsidR="00000000" w14:paraId="76BB01CE" w14:textId="77777777">
        <w:tblPrEx>
          <w:tblBorders>
            <w:top w:val="none" w:sz="0" w:space="0" w:color="auto"/>
            <w:bottom w:val="none" w:sz="0" w:space="0" w:color="auto"/>
            <w:insideH w:val="none" w:sz="0" w:space="0" w:color="auto"/>
            <w:insideV w:val="none" w:sz="0" w:space="0" w:color="auto"/>
          </w:tblBorders>
        </w:tblPrEx>
        <w:tc>
          <w:tcPr>
            <w:tcW w:w="30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6A66F" w14:textId="77777777" w:rsidR="00000000" w:rsidRDefault="00A96151">
            <w:pPr>
              <w:jc w:val="center"/>
            </w:pPr>
            <w:r>
              <w:t>1</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BAC0C" w14:textId="77777777" w:rsidR="00000000" w:rsidRDefault="00A96151">
            <w:pPr>
              <w:jc w:val="center"/>
            </w:pPr>
            <w:r>
              <w:t>30.000đ</w:t>
            </w:r>
          </w:p>
        </w:tc>
        <w:tc>
          <w:tcPr>
            <w:tcW w:w="30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3F2EB" w14:textId="77777777" w:rsidR="00000000" w:rsidRDefault="00A96151">
            <w:pPr>
              <w:jc w:val="center"/>
            </w:pPr>
            <w:r>
              <w:t>1.150đ</w:t>
            </w:r>
          </w:p>
        </w:tc>
      </w:tr>
    </w:tbl>
    <w:p w14:paraId="7F4123E8" w14:textId="77777777" w:rsidR="00A96151" w:rsidRDefault="00A96151">
      <w:pPr>
        <w:spacing w:after="120"/>
        <w:jc w:val="center"/>
      </w:pPr>
      <w:r>
        <w:rPr>
          <w:b/>
          <w:bCs/>
        </w:rPr>
        <w:t> </w:t>
      </w:r>
    </w:p>
    <w:sectPr w:rsidR="00A961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3E"/>
    <w:rsid w:val="00A96151"/>
    <w:rsid w:val="00EE38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7C1E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2022-07-28T04:40:00Z</dcterms:created>
  <dcterms:modified xsi:type="dcterms:W3CDTF">2022-07-28T04:40:00Z</dcterms:modified>
</cp:coreProperties>
</file>