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A310DF" w14:paraId="0B9E638B"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BD54C13" w14:textId="77777777" w:rsidR="00A310DF" w:rsidRDefault="00A310DF">
            <w:pPr>
              <w:jc w:val="center"/>
            </w:pPr>
            <w:bookmarkStart w:id="0" w:name="_GoBack"/>
            <w:bookmarkEnd w:id="0"/>
            <w:r>
              <w:rPr>
                <w:b/>
                <w:bCs/>
              </w:rPr>
              <w:t>THỦ TƯỚNG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0D44D18" w14:textId="77777777" w:rsidR="00A310DF" w:rsidRDefault="00A310DF">
            <w:pPr>
              <w:jc w:val="center"/>
            </w:pPr>
            <w:r>
              <w:rPr>
                <w:b/>
                <w:bCs/>
              </w:rPr>
              <w:t>VIỆT NAM DÂN CHỦ CỘNG HÒAĐộc lập - Tự do - Hạnh phúc</w:t>
            </w:r>
            <w:r>
              <w:rPr>
                <w:b/>
                <w:bCs/>
              </w:rPr>
              <w:br/>
            </w:r>
            <w:r>
              <w:t xml:space="preserve">******** </w:t>
            </w:r>
          </w:p>
        </w:tc>
      </w:tr>
      <w:tr w:rsidR="00A310DF" w14:paraId="4E4487B2"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65D8C75" w14:textId="77777777" w:rsidR="00A310DF" w:rsidRDefault="00A310DF">
            <w:pPr>
              <w:jc w:val="center"/>
            </w:pPr>
            <w:r>
              <w:t xml:space="preserve">Số: 306-TTg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DE250D9" w14:textId="77777777" w:rsidR="00A310DF" w:rsidRDefault="00A310DF">
            <w:pPr>
              <w:jc w:val="right"/>
            </w:pPr>
            <w:r>
              <w:rPr>
                <w:i/>
                <w:iCs/>
              </w:rPr>
              <w:t>Hà Nội, ngày 20 tháng 06 năm 1958 </w:t>
            </w:r>
            <w:r>
              <w:t xml:space="preserve"> </w:t>
            </w:r>
          </w:p>
        </w:tc>
      </w:tr>
    </w:tbl>
    <w:p w14:paraId="3616A2F6" w14:textId="77777777" w:rsidR="00A310DF" w:rsidRDefault="00A310DF">
      <w:pPr>
        <w:spacing w:after="120"/>
        <w:jc w:val="center"/>
      </w:pPr>
      <w:r>
        <w:rPr>
          <w:vanish/>
        </w:rPr>
        <w:t> </w:t>
      </w:r>
    </w:p>
    <w:p w14:paraId="1D769568" w14:textId="77777777" w:rsidR="00A310DF" w:rsidRDefault="00A310DF">
      <w:pPr>
        <w:spacing w:after="120"/>
      </w:pPr>
      <w:r>
        <w:t> </w:t>
      </w:r>
    </w:p>
    <w:p w14:paraId="694E68AE" w14:textId="77777777" w:rsidR="00A310DF" w:rsidRDefault="00A310DF">
      <w:pPr>
        <w:spacing w:after="120"/>
        <w:jc w:val="center"/>
      </w:pPr>
      <w:r>
        <w:rPr>
          <w:b/>
          <w:bCs/>
        </w:rPr>
        <w:t xml:space="preserve">NGHỊ ĐỊNH </w:t>
      </w:r>
    </w:p>
    <w:p w14:paraId="0012DA5E" w14:textId="77777777" w:rsidR="00A310DF" w:rsidRDefault="00A310DF">
      <w:pPr>
        <w:spacing w:after="120"/>
        <w:jc w:val="center"/>
      </w:pPr>
      <w:r>
        <w:t xml:space="preserve">QUY ĐỊNH CẤP BẬC QUÂN HÀM QUÂN ĐỘI NHÂN DÂN VIỆT NAM </w:t>
      </w:r>
    </w:p>
    <w:p w14:paraId="6E5004FD" w14:textId="77777777" w:rsidR="00A310DF" w:rsidRDefault="00A310DF">
      <w:pPr>
        <w:spacing w:after="120"/>
        <w:jc w:val="center"/>
      </w:pPr>
      <w:r>
        <w:rPr>
          <w:b/>
          <w:bCs/>
        </w:rPr>
        <w:t>THỦ TƯỚNG CHÍNH PHỦ</w:t>
      </w:r>
    </w:p>
    <w:p w14:paraId="0EDC4AA3" w14:textId="77777777" w:rsidR="00A310DF" w:rsidRDefault="00A310DF">
      <w:pPr>
        <w:spacing w:after="120"/>
      </w:pPr>
      <w:r>
        <w:rPr>
          <w:i/>
          <w:iCs/>
        </w:rPr>
        <w:t>Căn cứ Luật quy định chế độ phục vụ của sĩ quan Quân đội nhân dân Việt nam đã được Quốc hội nước Việt nam dân chủ cộng hòa thông qua trong khóa họp thứ 8 ngày 29 tháng 4 năm 1958 và được ban hành do sắc lệnh số 109-SL/L11 ngày 31 tháng 5 năm 1958;</w:t>
      </w:r>
      <w:r>
        <w:rPr>
          <w:i/>
          <w:iCs/>
        </w:rPr>
        <w:br/>
        <w:t>Căn cứ tình hình tổ chức, biên chế và cán bộ của Quân đội;</w:t>
      </w:r>
      <w:r>
        <w:rPr>
          <w:i/>
          <w:iCs/>
        </w:rPr>
        <w:br/>
        <w:t>Theo đề nghị của ông Bộ trưởng Bộ Quốc phòng.</w:t>
      </w:r>
    </w:p>
    <w:p w14:paraId="3427FF8B" w14:textId="77777777" w:rsidR="00A310DF" w:rsidRDefault="00A310DF">
      <w:pPr>
        <w:spacing w:after="120"/>
        <w:jc w:val="center"/>
      </w:pPr>
      <w:r>
        <w:rPr>
          <w:b/>
          <w:bCs/>
        </w:rPr>
        <w:t>NGHỊ ĐỊNH:</w:t>
      </w:r>
    </w:p>
    <w:p w14:paraId="7D835767" w14:textId="77777777" w:rsidR="00A310DF" w:rsidRDefault="00A310DF">
      <w:pPr>
        <w:spacing w:after="120"/>
      </w:pPr>
      <w:r>
        <w:rPr>
          <w:b/>
          <w:bCs/>
        </w:rPr>
        <w:t xml:space="preserve">Điều 1. </w:t>
      </w:r>
      <w:r>
        <w:t>– Cấp bậc quân hàm biên chế chính thức của sĩ quan Quân đội nhân dân Việt nam quy định như sau: </w:t>
      </w:r>
    </w:p>
    <w:tbl>
      <w:tblPr>
        <w:tblW w:w="0" w:type="auto"/>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2912"/>
        <w:gridCol w:w="1259"/>
      </w:tblGrid>
      <w:tr w:rsidR="00A310DF" w14:paraId="7E534292" w14:textId="77777777">
        <w:trPr>
          <w:tblCellSpacing w:w="15" w:type="dxa"/>
        </w:trPr>
        <w:tc>
          <w:tcPr>
            <w:tcW w:w="0" w:type="auto"/>
            <w:tcBorders>
              <w:top w:val="nil"/>
              <w:left w:val="nil"/>
              <w:bottom w:val="nil"/>
              <w:right w:val="nil"/>
              <w:tl2br w:val="nil"/>
              <w:tr2bl w:val="nil"/>
            </w:tcBorders>
            <w:shd w:val="clear" w:color="auto" w:fill="auto"/>
            <w:tcMar>
              <w:top w:w="15" w:type="dxa"/>
              <w:left w:w="15" w:type="dxa"/>
              <w:bottom w:w="15" w:type="dxa"/>
              <w:right w:w="15" w:type="dxa"/>
            </w:tcMar>
            <w:vAlign w:val="center"/>
          </w:tcPr>
          <w:p w14:paraId="32BCF771" w14:textId="77777777" w:rsidR="00A310DF" w:rsidRDefault="00A310DF">
            <w:r>
              <w:t>Trung đội trưởng</w:t>
            </w:r>
            <w:r>
              <w:br/>
              <w:t>Đại đội phó  </w:t>
            </w:r>
            <w:r>
              <w:br/>
              <w:t>Đại đội trưởng  </w:t>
            </w:r>
            <w:r>
              <w:br/>
              <w:t>Tiểu đoàn phó </w:t>
            </w:r>
            <w:r>
              <w:br/>
              <w:t>Tiểu đoàn trưởng  </w:t>
            </w:r>
            <w:r>
              <w:br/>
              <w:t>Trung đoàn phó </w:t>
            </w:r>
            <w:r>
              <w:br/>
              <w:t>Trung đoàn trưởng </w:t>
            </w:r>
            <w:r>
              <w:br/>
              <w:t>Sư đoàn phó, Lữ đoàn trưởng</w:t>
            </w:r>
            <w:r>
              <w:br/>
              <w:t>Sư đoàn trưởng</w:t>
            </w:r>
          </w:p>
        </w:tc>
        <w:tc>
          <w:tcPr>
            <w:tcW w:w="0" w:type="auto"/>
            <w:tcBorders>
              <w:top w:val="nil"/>
              <w:left w:val="nil"/>
              <w:bottom w:val="nil"/>
              <w:right w:val="nil"/>
              <w:tl2br w:val="nil"/>
              <w:tr2bl w:val="nil"/>
            </w:tcBorders>
            <w:shd w:val="clear" w:color="auto" w:fill="auto"/>
            <w:tcMar>
              <w:top w:w="15" w:type="dxa"/>
              <w:left w:w="15" w:type="dxa"/>
              <w:bottom w:w="15" w:type="dxa"/>
              <w:right w:w="15" w:type="dxa"/>
            </w:tcMar>
            <w:vAlign w:val="center"/>
          </w:tcPr>
          <w:p w14:paraId="166D689E" w14:textId="77777777" w:rsidR="00A310DF" w:rsidRDefault="00A310DF">
            <w:r>
              <w:t>Thiếu úy</w:t>
            </w:r>
            <w:r>
              <w:br/>
              <w:t>Trung úy</w:t>
            </w:r>
            <w:r>
              <w:br/>
              <w:t>Thượng úy</w:t>
            </w:r>
            <w:r>
              <w:br/>
              <w:t>Đại úy </w:t>
            </w:r>
            <w:r>
              <w:br/>
              <w:t>Thiếu tá</w:t>
            </w:r>
            <w:r>
              <w:br/>
              <w:t>Trung tá</w:t>
            </w:r>
            <w:r>
              <w:br/>
              <w:t>Thượng tá</w:t>
            </w:r>
            <w:r>
              <w:br/>
              <w:t>Đại tá</w:t>
            </w:r>
            <w:r>
              <w:br/>
              <w:t>Thiếu tướng</w:t>
            </w:r>
          </w:p>
        </w:tc>
      </w:tr>
    </w:tbl>
    <w:p w14:paraId="5B2DDEB0" w14:textId="77777777" w:rsidR="00A310DF" w:rsidRDefault="00A310DF">
      <w:pPr>
        <w:spacing w:after="120"/>
      </w:pPr>
      <w:r>
        <w:t>Cấp bậc quân hàm biên chế chính thức tương đương với những chức vụ cao hơn chức vụ sư đoàn trưởng sẽ tùy yêu cầu của Quân đội và trình độ của cán bộ mà quyết định.</w:t>
      </w:r>
    </w:p>
    <w:p w14:paraId="09C4E553" w14:textId="77777777" w:rsidR="00A310DF" w:rsidRDefault="00A310DF">
      <w:pPr>
        <w:spacing w:after="120"/>
      </w:pPr>
      <w:r>
        <w:rPr>
          <w:b/>
          <w:bCs/>
        </w:rPr>
        <w:t xml:space="preserve">Điều 2. </w:t>
      </w:r>
      <w:r>
        <w:t>– Tùy theo nhu cầu của Quân đội và khả năng của cán bộ, sĩ quan ở mỗi cấp có thể được bổ nhiệm giữ một trong những chức vụ như dưới đây  hoặc những chức vụ tương đương.</w:t>
      </w:r>
    </w:p>
    <w:p w14:paraId="619E5D65" w14:textId="77777777" w:rsidR="00A310DF" w:rsidRDefault="00A310DF">
      <w:pPr>
        <w:spacing w:after="120"/>
      </w:pPr>
      <w:r>
        <w:t xml:space="preserve">- Thiếu úy có thể giữ các chức vụ: </w:t>
      </w:r>
    </w:p>
    <w:p w14:paraId="1371C708" w14:textId="0BD2368D" w:rsidR="00A310DF" w:rsidRDefault="0083586F">
      <w:pPr>
        <w:spacing w:after="120"/>
      </w:pPr>
      <w:r>
        <w:rPr>
          <w:noProof/>
        </w:rPr>
        <w:drawing>
          <wp:inline distT="0" distB="0" distL="0" distR="0" wp14:anchorId="45BD641E" wp14:editId="564763F3">
            <wp:extent cx="1104900" cy="792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4900" cy="792480"/>
                    </a:xfrm>
                    <a:prstGeom prst="rect">
                      <a:avLst/>
                    </a:prstGeom>
                    <a:noFill/>
                    <a:ln>
                      <a:noFill/>
                    </a:ln>
                  </pic:spPr>
                </pic:pic>
              </a:graphicData>
            </a:graphic>
          </wp:inline>
        </w:drawing>
      </w:r>
    </w:p>
    <w:p w14:paraId="0EED417F" w14:textId="77777777" w:rsidR="00A310DF" w:rsidRDefault="00A310DF">
      <w:pPr>
        <w:spacing w:after="120"/>
      </w:pPr>
      <w:r>
        <w:t>- Trung úy có thể giữ các chức vụ: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47"/>
      </w:tblGrid>
      <w:tr w:rsidR="00A310DF" w14:paraId="0AC69B51" w14:textId="77777777">
        <w:tc>
          <w:tcPr>
            <w:tcW w:w="0" w:type="auto"/>
            <w:tcBorders>
              <w:top w:val="nil"/>
              <w:left w:val="nil"/>
              <w:bottom w:val="nil"/>
              <w:right w:val="nil"/>
              <w:tl2br w:val="nil"/>
              <w:tr2bl w:val="nil"/>
            </w:tcBorders>
            <w:shd w:val="clear" w:color="auto" w:fill="auto"/>
            <w:tcMar>
              <w:top w:w="0" w:type="dxa"/>
              <w:left w:w="0" w:type="dxa"/>
              <w:bottom w:w="0" w:type="dxa"/>
              <w:right w:w="0" w:type="dxa"/>
            </w:tcMar>
            <w:vAlign w:val="center"/>
          </w:tcPr>
          <w:p w14:paraId="3EF65278" w14:textId="77777777" w:rsidR="00A310DF" w:rsidRDefault="00A310DF">
            <w:r>
              <w:t>Trung đội trưởng, Đại đội phó, Đại đội trưởng</w:t>
            </w:r>
          </w:p>
        </w:tc>
      </w:tr>
    </w:tbl>
    <w:p w14:paraId="00411E1D" w14:textId="77777777" w:rsidR="00A310DF" w:rsidRDefault="00A310DF">
      <w:pPr>
        <w:spacing w:after="120"/>
      </w:pPr>
      <w:r>
        <w:t>- Thượng úy có thể giữ các chức vụ: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14"/>
      </w:tblGrid>
      <w:tr w:rsidR="00A310DF" w14:paraId="1FB4D59F" w14:textId="77777777">
        <w:tc>
          <w:tcPr>
            <w:tcW w:w="0" w:type="auto"/>
            <w:tcBorders>
              <w:top w:val="nil"/>
              <w:left w:val="nil"/>
              <w:bottom w:val="nil"/>
              <w:right w:val="nil"/>
              <w:tl2br w:val="nil"/>
              <w:tr2bl w:val="nil"/>
            </w:tcBorders>
            <w:shd w:val="clear" w:color="auto" w:fill="auto"/>
            <w:tcMar>
              <w:top w:w="0" w:type="dxa"/>
              <w:left w:w="0" w:type="dxa"/>
              <w:bottom w:w="0" w:type="dxa"/>
              <w:right w:w="0" w:type="dxa"/>
            </w:tcMar>
            <w:vAlign w:val="center"/>
          </w:tcPr>
          <w:p w14:paraId="5D2CEE0A" w14:textId="77777777" w:rsidR="00A310DF" w:rsidRDefault="00A310DF">
            <w:r>
              <w:t>Đại đội trưởng, Tiểu đoàn phó, Tiểu đoàn trưởng</w:t>
            </w:r>
          </w:p>
        </w:tc>
      </w:tr>
    </w:tbl>
    <w:p w14:paraId="7773EA68" w14:textId="77777777" w:rsidR="00A310DF" w:rsidRDefault="00A310DF">
      <w:pPr>
        <w:spacing w:after="120"/>
      </w:pPr>
      <w:r>
        <w:lastRenderedPageBreak/>
        <w:t>- Đại úy có thể giữ các chức vụ: </w:t>
      </w:r>
    </w:p>
    <w:p w14:paraId="34F49A15" w14:textId="4B3F1EEA" w:rsidR="00A310DF" w:rsidRDefault="0083586F">
      <w:pPr>
        <w:spacing w:after="120"/>
      </w:pPr>
      <w:r>
        <w:rPr>
          <w:noProof/>
        </w:rPr>
        <w:drawing>
          <wp:inline distT="0" distB="0" distL="0" distR="0" wp14:anchorId="0DB6B3C9" wp14:editId="0D4C82B5">
            <wp:extent cx="1684020" cy="449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84020" cy="449580"/>
                    </a:xfrm>
                    <a:prstGeom prst="rect">
                      <a:avLst/>
                    </a:prstGeom>
                    <a:noFill/>
                    <a:ln>
                      <a:noFill/>
                    </a:ln>
                  </pic:spPr>
                </pic:pic>
              </a:graphicData>
            </a:graphic>
          </wp:inline>
        </w:drawing>
      </w:r>
    </w:p>
    <w:p w14:paraId="26C7ECAD" w14:textId="77777777" w:rsidR="00A310DF" w:rsidRDefault="00A310DF">
      <w:pPr>
        <w:spacing w:after="120"/>
      </w:pPr>
      <w:r>
        <w:t>- Thiếu tá có thể giữ các chức vụ:</w:t>
      </w:r>
    </w:p>
    <w:p w14:paraId="5ECF628A" w14:textId="7EE9EEAB" w:rsidR="00A310DF" w:rsidRDefault="0083586F">
      <w:pPr>
        <w:spacing w:after="120"/>
      </w:pPr>
      <w:r>
        <w:rPr>
          <w:noProof/>
        </w:rPr>
        <w:drawing>
          <wp:inline distT="0" distB="0" distL="0" distR="0" wp14:anchorId="351BD42D" wp14:editId="583EDE7B">
            <wp:extent cx="1737360" cy="541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37360" cy="541020"/>
                    </a:xfrm>
                    <a:prstGeom prst="rect">
                      <a:avLst/>
                    </a:prstGeom>
                    <a:noFill/>
                    <a:ln>
                      <a:noFill/>
                    </a:ln>
                  </pic:spPr>
                </pic:pic>
              </a:graphicData>
            </a:graphic>
          </wp:inline>
        </w:drawing>
      </w:r>
    </w:p>
    <w:p w14:paraId="55044317" w14:textId="77777777" w:rsidR="00A310DF" w:rsidRDefault="00A310DF">
      <w:pPr>
        <w:spacing w:after="120"/>
      </w:pPr>
      <w:r>
        <w:t>- Trung tá có thể giữ các chức vụ: </w:t>
      </w:r>
    </w:p>
    <w:p w14:paraId="1F8EA5F8" w14:textId="249A8370" w:rsidR="00A310DF" w:rsidRDefault="0083586F">
      <w:pPr>
        <w:spacing w:after="120"/>
      </w:pPr>
      <w:r>
        <w:rPr>
          <w:noProof/>
        </w:rPr>
        <w:drawing>
          <wp:inline distT="0" distB="0" distL="0" distR="0" wp14:anchorId="07A797FF" wp14:editId="28D593F9">
            <wp:extent cx="1905000" cy="541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541020"/>
                    </a:xfrm>
                    <a:prstGeom prst="rect">
                      <a:avLst/>
                    </a:prstGeom>
                    <a:noFill/>
                    <a:ln>
                      <a:noFill/>
                    </a:ln>
                  </pic:spPr>
                </pic:pic>
              </a:graphicData>
            </a:graphic>
          </wp:inline>
        </w:drawing>
      </w:r>
    </w:p>
    <w:p w14:paraId="3E81E20D" w14:textId="77777777" w:rsidR="00A310DF" w:rsidRDefault="00A310DF">
      <w:pPr>
        <w:spacing w:after="120"/>
      </w:pPr>
      <w:r>
        <w:t>- Thượng tá có thể giữ các chức vụ: </w:t>
      </w:r>
    </w:p>
    <w:p w14:paraId="17C9E717" w14:textId="7A517776" w:rsidR="00A310DF" w:rsidRDefault="0083586F">
      <w:pPr>
        <w:spacing w:after="120"/>
      </w:pPr>
      <w:r>
        <w:rPr>
          <w:noProof/>
        </w:rPr>
        <w:drawing>
          <wp:inline distT="0" distB="0" distL="0" distR="0" wp14:anchorId="437EB65A" wp14:editId="552B5465">
            <wp:extent cx="1813560" cy="609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13560" cy="609600"/>
                    </a:xfrm>
                    <a:prstGeom prst="rect">
                      <a:avLst/>
                    </a:prstGeom>
                    <a:noFill/>
                    <a:ln>
                      <a:noFill/>
                    </a:ln>
                  </pic:spPr>
                </pic:pic>
              </a:graphicData>
            </a:graphic>
          </wp:inline>
        </w:drawing>
      </w:r>
    </w:p>
    <w:p w14:paraId="37B31314" w14:textId="77777777" w:rsidR="00A310DF" w:rsidRDefault="00A310DF">
      <w:pPr>
        <w:spacing w:after="120"/>
      </w:pPr>
      <w:r>
        <w:t>- Đại tá có thể giữ các chức vụ: </w:t>
      </w:r>
    </w:p>
    <w:p w14:paraId="6BEFC92B" w14:textId="2845FDE6" w:rsidR="00A310DF" w:rsidRDefault="0083586F">
      <w:pPr>
        <w:spacing w:after="120"/>
      </w:pPr>
      <w:r>
        <w:rPr>
          <w:noProof/>
        </w:rPr>
        <w:drawing>
          <wp:inline distT="0" distB="0" distL="0" distR="0" wp14:anchorId="6F2674AE" wp14:editId="4F270DB7">
            <wp:extent cx="2895600" cy="6553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95600" cy="655320"/>
                    </a:xfrm>
                    <a:prstGeom prst="rect">
                      <a:avLst/>
                    </a:prstGeom>
                    <a:noFill/>
                    <a:ln>
                      <a:noFill/>
                    </a:ln>
                  </pic:spPr>
                </pic:pic>
              </a:graphicData>
            </a:graphic>
          </wp:inline>
        </w:drawing>
      </w:r>
    </w:p>
    <w:p w14:paraId="69056DD4" w14:textId="77777777" w:rsidR="00A310DF" w:rsidRDefault="00A310DF">
      <w:pPr>
        <w:spacing w:after="120"/>
      </w:pPr>
      <w:r>
        <w:t>Việc bổ nhiệm các sĩ quan từ cấp Thiếu tướng trở lên giữ các chức vụ trong Quân đội sẽ tùy tình hình cụ thể mà quyết định.</w:t>
      </w:r>
    </w:p>
    <w:p w14:paraId="10535DEC" w14:textId="77777777" w:rsidR="00A310DF" w:rsidRDefault="00A310DF">
      <w:pPr>
        <w:spacing w:after="120"/>
      </w:pPr>
      <w:r>
        <w:rPr>
          <w:b/>
          <w:bCs/>
        </w:rPr>
        <w:t xml:space="preserve">Điều 3. – </w:t>
      </w:r>
      <w:r>
        <w:t>Căn cứ vào tình hình tổ chức, biên chế của Quân đội và chức vụ của cán bộ hiện nay, để khuyến khích cán bộ nỗ lực học tập và cố gắng công tác, khi phong quân hàm lần đầu tiên, nói chung có thể phong dưới cấp bậc quân hàm biên chế chính thức một cấp, có trường hợp phong dưới hai cấp, có trường hợp phong ngang cấp.</w:t>
      </w:r>
    </w:p>
    <w:p w14:paraId="6946DC88" w14:textId="77777777" w:rsidR="00A310DF" w:rsidRDefault="00A310DF">
      <w:pPr>
        <w:spacing w:after="120"/>
      </w:pPr>
      <w:r>
        <w:rPr>
          <w:b/>
          <w:bCs/>
        </w:rPr>
        <w:t xml:space="preserve">Điều 4. - </w:t>
      </w:r>
      <w:r>
        <w:t>Cấp bậc quân hàm biên chế chính thức của hạ sĩ quan và binh sẽ do Bộ Quốc phòng quy định.</w:t>
      </w:r>
    </w:p>
    <w:p w14:paraId="5E873747" w14:textId="77777777" w:rsidR="00A310DF" w:rsidRDefault="00A310DF">
      <w:pPr>
        <w:spacing w:after="120"/>
      </w:pPr>
      <w:r>
        <w:rPr>
          <w:b/>
          <w:bCs/>
        </w:rPr>
        <w:t xml:space="preserve">Điều 5. - </w:t>
      </w:r>
      <w:r>
        <w:t>Những quy định trái với nghị định này đều bãi bỏ.</w:t>
      </w:r>
    </w:p>
    <w:p w14:paraId="046091E3" w14:textId="77777777" w:rsidR="00A310DF" w:rsidRDefault="00A310DF">
      <w:pPr>
        <w:spacing w:after="120"/>
      </w:pPr>
      <w:r>
        <w:rPr>
          <w:b/>
          <w:bCs/>
        </w:rPr>
        <w:t xml:space="preserve">Điều 6. – </w:t>
      </w:r>
      <w:r>
        <w:t>Ông Bộ trưởng Bộ Quốc phòng chịu trách nhiệm thi hành nghị định này.</w:t>
      </w:r>
    </w:p>
    <w:p w14:paraId="07C964F2" w14:textId="77777777" w:rsidR="00A310DF" w:rsidRDefault="00A310DF">
      <w:pPr>
        <w:spacing w:after="120"/>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
        <w:gridCol w:w="8997"/>
      </w:tblGrid>
      <w:tr w:rsidR="00A310DF" w14:paraId="529B7C4E"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4324339" w14:textId="77777777" w:rsidR="00A310DF" w:rsidRDefault="00A310DF">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749BB19" w14:textId="77777777" w:rsidR="00A310DF" w:rsidRDefault="00A310DF">
            <w:pPr>
              <w:jc w:val="center"/>
            </w:pPr>
            <w:r>
              <w:rPr>
                <w:b/>
                <w:bCs/>
              </w:rPr>
              <w:t>THỦ TƯỚNG CHÍNH PHỦ</w:t>
            </w:r>
            <w:r>
              <w:br/>
              <w:t> </w:t>
            </w:r>
            <w:r>
              <w:rPr>
                <w:b/>
                <w:bCs/>
              </w:rPr>
              <w:br/>
            </w:r>
            <w:r>
              <w:t> </w:t>
            </w:r>
            <w:r>
              <w:br/>
            </w:r>
            <w:r>
              <w:br/>
            </w:r>
            <w:r>
              <w:rPr>
                <w:b/>
                <w:bCs/>
              </w:rPr>
              <w:br/>
              <w:t>Phạm Văn Đồng</w:t>
            </w:r>
          </w:p>
        </w:tc>
      </w:tr>
    </w:tbl>
    <w:p w14:paraId="31FCAE74" w14:textId="77777777" w:rsidR="00A310DF" w:rsidRDefault="00A310DF">
      <w:pPr>
        <w:spacing w:after="120"/>
      </w:pPr>
      <w:r>
        <w:t> </w:t>
      </w:r>
    </w:p>
    <w:sectPr w:rsidR="00A310D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CB"/>
    <w:rsid w:val="00031DCB"/>
    <w:rsid w:val="0083586F"/>
    <w:rsid w:val="00A310D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D30538"/>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2052</Characters>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2408</CharactersWithSpaces>
  <SharedDoc>false</SharedDoc>
  <HyperlinkBase>http://vanbanphapluat.co/nghi-dinh-306-ttg-quy-dinh-cap-bac-quan-ham-quan-doi-nhan-dan-viet-nam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2022-07-28T05:00:00Z</dcterms:created>
  <dcterms:modified xsi:type="dcterms:W3CDTF">2022-07-28T05:00:00Z</dcterms:modified>
</cp:coreProperties>
</file>