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62E4923"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B9D7703" w14:textId="77777777" w:rsidR="00000000" w:rsidRDefault="00000000">
            <w:pPr>
              <w:spacing w:before="120"/>
              <w:jc w:val="center"/>
            </w:pPr>
            <w:r>
              <w:rPr>
                <w:b/>
                <w:bCs/>
                <w:sz w:val="20"/>
                <w:shd w:val="solid" w:color="FFFFFF" w:fill="auto"/>
                <w:lang w:val="vi-VN"/>
              </w:rPr>
              <w:t>BỘ TÀI CHÍNH</w:t>
            </w:r>
            <w:r>
              <w:rPr>
                <w:b/>
                <w:bCs/>
                <w:sz w:val="20"/>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2EBABE5" w14:textId="77777777" w:rsidR="00000000" w:rsidRDefault="00000000">
            <w:pPr>
              <w:spacing w:before="120"/>
              <w:jc w:val="center"/>
            </w:pPr>
            <w:r>
              <w:rPr>
                <w:b/>
                <w:bCs/>
                <w:sz w:val="20"/>
                <w:lang w:val="vi-VN"/>
              </w:rPr>
              <w:t>CỘNG HÒA XÃ HỘI CHỦ NGHĨA VIỆT NAM</w:t>
            </w:r>
            <w:r>
              <w:rPr>
                <w:b/>
                <w:bCs/>
                <w:sz w:val="20"/>
                <w:lang w:val="vi-VN"/>
              </w:rPr>
              <w:br/>
              <w:t>Độc lập - Tự do - Hạnh phúc</w:t>
            </w:r>
            <w:r>
              <w:rPr>
                <w:b/>
                <w:bCs/>
                <w:sz w:val="20"/>
                <w:lang w:val="vi-VN"/>
              </w:rPr>
              <w:br/>
              <w:t>---------------</w:t>
            </w:r>
          </w:p>
        </w:tc>
      </w:tr>
      <w:tr w:rsidR="00000000" w14:paraId="5BEF2B52"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8B86821" w14:textId="77777777" w:rsidR="00000000" w:rsidRDefault="00000000">
            <w:pPr>
              <w:spacing w:before="120"/>
              <w:jc w:val="center"/>
            </w:pPr>
            <w:r>
              <w:rPr>
                <w:sz w:val="20"/>
                <w:lang w:val="vi-VN"/>
              </w:rPr>
              <w:t xml:space="preserve">Số: </w:t>
            </w:r>
            <w:r>
              <w:rPr>
                <w:sz w:val="20"/>
                <w:shd w:val="solid" w:color="FFFFFF" w:fill="auto"/>
                <w:lang w:val="vi-VN"/>
              </w:rPr>
              <w:t>34/2022/TT-BTC</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57F9E78" w14:textId="77777777" w:rsidR="00000000" w:rsidRDefault="00000000">
            <w:pPr>
              <w:spacing w:before="120"/>
              <w:jc w:val="right"/>
            </w:pPr>
            <w:r>
              <w:rPr>
                <w:i/>
                <w:iCs/>
                <w:sz w:val="20"/>
                <w:shd w:val="solid" w:color="FFFFFF" w:fill="auto"/>
                <w:lang w:val="vi-VN"/>
              </w:rPr>
              <w:t>Hà Nội, ngày 10 tháng 6 năm 2022</w:t>
            </w:r>
          </w:p>
        </w:tc>
      </w:tr>
    </w:tbl>
    <w:p w14:paraId="015DDECE" w14:textId="77777777" w:rsidR="00000000" w:rsidRDefault="00000000">
      <w:pPr>
        <w:spacing w:before="120" w:after="280" w:afterAutospacing="1"/>
      </w:pPr>
      <w:r>
        <w:rPr>
          <w:sz w:val="20"/>
          <w:shd w:val="solid" w:color="FFFFFF" w:fill="auto"/>
        </w:rPr>
        <w:t> </w:t>
      </w:r>
    </w:p>
    <w:p w14:paraId="09393B8A" w14:textId="77777777" w:rsidR="00000000" w:rsidRDefault="00000000">
      <w:pPr>
        <w:spacing w:before="120" w:after="280" w:afterAutospacing="1"/>
        <w:jc w:val="center"/>
      </w:pPr>
      <w:bookmarkStart w:id="0" w:name="loai_1"/>
      <w:r>
        <w:rPr>
          <w:b/>
          <w:bCs/>
          <w:shd w:val="solid" w:color="FFFFFF" w:fill="auto"/>
          <w:lang w:val="vi-VN"/>
        </w:rPr>
        <w:t>THÔNG TƯ</w:t>
      </w:r>
      <w:bookmarkEnd w:id="0"/>
    </w:p>
    <w:p w14:paraId="73ADC12C" w14:textId="77777777" w:rsidR="00000000" w:rsidRDefault="00000000">
      <w:pPr>
        <w:spacing w:before="120" w:after="280" w:afterAutospacing="1"/>
        <w:jc w:val="center"/>
      </w:pPr>
      <w:bookmarkStart w:id="1" w:name="loai_1_name"/>
      <w:r>
        <w:rPr>
          <w:sz w:val="20"/>
          <w:shd w:val="solid" w:color="FFFFFF" w:fill="auto"/>
          <w:lang w:val="vi-VN"/>
        </w:rPr>
        <w:t>BÃI BỎ QUYẾT ĐỊNH SỐ 83/2005/QĐ-BTC NGÀY 28 THÁNG 11 NĂM 2005 CỦA BỘ TRƯỞNG BỘ TÀI CHÍNH BAN HÀNH TIÊU CHUẨN GIÁM ĐỐC SỞ TÀI CHÍNH THUỘC ỦY BAN NHÂN DÂN TỈNH, THÀNH PHỐ TRỰC THUỘC TRUNG ƯƠNG</w:t>
      </w:r>
      <w:bookmarkEnd w:id="1"/>
    </w:p>
    <w:p w14:paraId="6BD8A87C" w14:textId="77777777" w:rsidR="00000000" w:rsidRDefault="00000000">
      <w:pPr>
        <w:spacing w:before="120" w:after="280" w:afterAutospacing="1"/>
      </w:pPr>
      <w:r>
        <w:rPr>
          <w:i/>
          <w:iCs/>
          <w:sz w:val="20"/>
          <w:shd w:val="solid" w:color="FFFFFF" w:fill="auto"/>
          <w:lang w:val="vi-VN"/>
        </w:rPr>
        <w:t>Căn cứ Luật Ban hành văn bản quy phạm pháp luật ngày 22 tháng 6 năm 2015;</w:t>
      </w:r>
    </w:p>
    <w:p w14:paraId="71C48A11" w14:textId="77777777" w:rsidR="00000000" w:rsidRDefault="00000000">
      <w:pPr>
        <w:spacing w:before="120" w:after="280" w:afterAutospacing="1"/>
      </w:pPr>
      <w:r>
        <w:rPr>
          <w:i/>
          <w:iCs/>
          <w:sz w:val="20"/>
          <w:shd w:val="solid" w:color="FFFFFF" w:fill="auto"/>
          <w:lang w:val="vi-VN"/>
        </w:rPr>
        <w:t>Căn cứ Luật sửa đổi, bổ sung một số điều của Luật Ban hành văn bản quy phạm pháp luật ngày 14 tháng 6 năm 2020;</w:t>
      </w:r>
    </w:p>
    <w:p w14:paraId="1BF1931B" w14:textId="77777777" w:rsidR="00000000" w:rsidRDefault="00000000">
      <w:pPr>
        <w:spacing w:before="120" w:after="280" w:afterAutospacing="1"/>
      </w:pPr>
      <w:r>
        <w:rPr>
          <w:i/>
          <w:iCs/>
          <w:sz w:val="20"/>
          <w:shd w:val="solid" w:color="FFFFFF" w:fill="auto"/>
          <w:lang w:val="vi-VN"/>
        </w:rPr>
        <w:t>Căn cứ Nghị định số 34/2016/NĐ-CP ngày 14 tháng 5 năm 2016 của Chính phủ quy định chi tiết một số điều và biện pháp thi hành Luật Ban hành văn bản quy phạm pháp luật;</w:t>
      </w:r>
    </w:p>
    <w:p w14:paraId="1DA54010" w14:textId="77777777" w:rsidR="00000000" w:rsidRDefault="00000000">
      <w:pPr>
        <w:spacing w:before="120" w:after="280" w:afterAutospacing="1"/>
      </w:pPr>
      <w:r>
        <w:rPr>
          <w:i/>
          <w:iCs/>
          <w:sz w:val="20"/>
          <w:shd w:val="solid" w:color="FFFFFF" w:fill="auto"/>
          <w:lang w:val="vi-VN"/>
        </w:rP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14:paraId="679763B4" w14:textId="77777777" w:rsidR="00000000" w:rsidRDefault="00000000">
      <w:pPr>
        <w:spacing w:before="120" w:after="280" w:afterAutospacing="1"/>
      </w:pPr>
      <w:r>
        <w:rPr>
          <w:i/>
          <w:iCs/>
          <w:sz w:val="20"/>
          <w:shd w:val="solid" w:color="FFFFFF" w:fill="auto"/>
          <w:lang w:val="vi-VN"/>
        </w:rPr>
        <w:t>Căn cứ Nghị định số 87/2017/NĐ-CP ngày 26 tháng 7 năm 2017 của Chính phủ quy định chức năng, nhiệm vụ, quyền hạn và cơ cấu tổ chức của Bộ Tài chính;</w:t>
      </w:r>
    </w:p>
    <w:p w14:paraId="35D8CB94" w14:textId="77777777" w:rsidR="00000000" w:rsidRDefault="00000000">
      <w:pPr>
        <w:spacing w:before="120" w:after="280" w:afterAutospacing="1"/>
      </w:pPr>
      <w:r>
        <w:rPr>
          <w:i/>
          <w:iCs/>
          <w:sz w:val="20"/>
          <w:shd w:val="solid" w:color="FFFFFF" w:fill="auto"/>
          <w:lang w:val="vi-VN"/>
        </w:rP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14:paraId="5906C8C7" w14:textId="77777777" w:rsidR="00000000" w:rsidRDefault="00000000">
      <w:pPr>
        <w:spacing w:before="120" w:after="280" w:afterAutospacing="1"/>
      </w:pPr>
      <w:r>
        <w:rPr>
          <w:i/>
          <w:iCs/>
          <w:sz w:val="20"/>
          <w:shd w:val="solid" w:color="FFFFFF" w:fill="auto"/>
          <w:lang w:val="vi-VN"/>
        </w:rPr>
        <w:t>Theo đề nghị của Vụ trưởng Vụ Tổ chức cán bộ;</w:t>
      </w:r>
    </w:p>
    <w:p w14:paraId="7451563A" w14:textId="77777777" w:rsidR="00000000" w:rsidRDefault="00000000">
      <w:pPr>
        <w:spacing w:before="120" w:after="280" w:afterAutospacing="1"/>
      </w:pPr>
      <w:r>
        <w:rPr>
          <w:i/>
          <w:iCs/>
          <w:sz w:val="20"/>
          <w:shd w:val="solid" w:color="FFFFFF" w:fill="auto"/>
          <w:lang w:val="vi-VN"/>
        </w:rPr>
        <w:t>Bộ trưởng Bộ Tài chính ban hành Thông tư bãi bỏ Quyết định số 83/2005/QĐ-BTC ngày 28 tháng 11 năm 2005 của Bộ trưởng Bộ Tài chính ban hành Tiêu chuẩn Giám đốc Sở Tài chính thuộc Ủy ban nhân dân tỉnh, thành phố trực thuộc trung ương.</w:t>
      </w:r>
    </w:p>
    <w:p w14:paraId="6F65EA66" w14:textId="77777777" w:rsidR="00000000" w:rsidRDefault="00000000">
      <w:pPr>
        <w:spacing w:before="120"/>
      </w:pPr>
      <w:bookmarkStart w:id="2" w:name="dieu_1"/>
      <w:r>
        <w:rPr>
          <w:color w:val="000000"/>
          <w:sz w:val="20"/>
          <w:shd w:val="solid" w:color="FFFFFF" w:fill="auto"/>
          <w:lang w:val="vi-VN"/>
        </w:rPr>
        <w:t>Điều 1. Bãi bỏ toàn bộ văn bản quy phạm pháp luật</w:t>
      </w:r>
      <w:bookmarkEnd w:id="2"/>
    </w:p>
    <w:p w14:paraId="33DE4AA9" w14:textId="77777777" w:rsidR="00000000" w:rsidRDefault="00000000">
      <w:pPr>
        <w:spacing w:before="120"/>
      </w:pPr>
      <w:r>
        <w:rPr>
          <w:color w:val="000000"/>
          <w:sz w:val="20"/>
          <w:shd w:val="solid" w:color="FFFFFF" w:fill="auto"/>
          <w:lang w:val="vi-VN"/>
        </w:rPr>
        <w:t>Bãi bỏ toàn bộ Quyết định số 83/2005/QĐ-BTC ngày 28 tháng 11 năm 2005 của Bộ trưởng Bộ Tài chính về việc Ban hành Tiêu chuẩn Giám đốc Sở Tài chính thuộc Ủy ban nhân dân tỉnh, thành phố trực thuộc trung ương.</w:t>
      </w:r>
    </w:p>
    <w:p w14:paraId="71E2F5C1" w14:textId="77777777" w:rsidR="00000000" w:rsidRDefault="00000000">
      <w:pPr>
        <w:spacing w:before="120"/>
      </w:pPr>
      <w:bookmarkStart w:id="3" w:name="dieu_2"/>
      <w:r>
        <w:rPr>
          <w:color w:val="000000"/>
          <w:sz w:val="20"/>
          <w:shd w:val="solid" w:color="FFFFFF" w:fill="auto"/>
          <w:lang w:val="vi-VN"/>
        </w:rPr>
        <w:t>Điều 2. Tổ chức thực hiện</w:t>
      </w:r>
      <w:bookmarkEnd w:id="3"/>
    </w:p>
    <w:p w14:paraId="2AFAEE71" w14:textId="77777777" w:rsidR="00000000" w:rsidRDefault="00000000">
      <w:pPr>
        <w:spacing w:before="120"/>
      </w:pPr>
      <w:r>
        <w:rPr>
          <w:color w:val="000000"/>
          <w:sz w:val="20"/>
          <w:shd w:val="solid" w:color="FFFFFF" w:fill="auto"/>
          <w:lang w:val="vi-VN"/>
        </w:rPr>
        <w:t>1. Thông tư này có hiệu lực thi hành kể từ ngày 01 tháng 8 năm 2022.</w:t>
      </w:r>
    </w:p>
    <w:p w14:paraId="779A2C4E" w14:textId="77777777" w:rsidR="00000000" w:rsidRDefault="00000000">
      <w:pPr>
        <w:spacing w:before="120"/>
      </w:pPr>
      <w:r>
        <w:rPr>
          <w:color w:val="000000"/>
          <w:sz w:val="20"/>
          <w:shd w:val="solid" w:color="FFFFFF" w:fill="auto"/>
          <w:lang w:val="vi-VN"/>
        </w:rPr>
        <w:t xml:space="preserve">2. Vụ trưởng Vụ Tổ chức cán bộ, Thủ trưởng các đơn vị thuộc Bộ Tài chính và các cơ quan, tổ chức, cá nhân có </w:t>
      </w:r>
      <w:r>
        <w:rPr>
          <w:color w:val="000000"/>
          <w:sz w:val="20"/>
          <w:shd w:val="solid" w:color="FFFFFF" w:fill="auto"/>
        </w:rPr>
        <w:t xml:space="preserve">liên </w:t>
      </w:r>
      <w:r>
        <w:rPr>
          <w:color w:val="000000"/>
          <w:sz w:val="20"/>
          <w:shd w:val="solid" w:color="FFFFFF" w:fill="auto"/>
          <w:lang w:val="vi-VN"/>
        </w:rPr>
        <w:t>quan chịu trách nhiệm thi hành Thông tư này./.</w:t>
      </w:r>
    </w:p>
    <w:p w14:paraId="70A2A292" w14:textId="77777777" w:rsidR="00000000" w:rsidRDefault="00000000">
      <w:pPr>
        <w:spacing w:before="120"/>
      </w:pPr>
      <w:r>
        <w:rPr>
          <w:color w:val="000000"/>
          <w:sz w:val="20"/>
          <w:shd w:val="solid" w:color="FFFFFF" w:fill="auto"/>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3CE72FA"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A43AD28" w14:textId="77777777" w:rsidR="00000000" w:rsidRDefault="00000000">
            <w:pPr>
              <w:spacing w:before="120"/>
            </w:pPr>
            <w:r>
              <w:rPr>
                <w:b/>
                <w:bCs/>
                <w:i/>
                <w:iCs/>
                <w:sz w:val="20"/>
                <w:lang w:val="vi-VN"/>
              </w:rPr>
              <w:br/>
              <w:t>Nơi nhận:</w:t>
            </w:r>
            <w:r>
              <w:rPr>
                <w:b/>
                <w:bCs/>
                <w:i/>
                <w:iCs/>
                <w:sz w:val="20"/>
                <w:lang w:val="vi-VN"/>
              </w:rPr>
              <w:br/>
            </w:r>
            <w:r>
              <w:rPr>
                <w:sz w:val="16"/>
                <w:lang w:val="vi-VN"/>
              </w:rPr>
              <w:t xml:space="preserve">- </w:t>
            </w:r>
            <w:r>
              <w:rPr>
                <w:sz w:val="16"/>
                <w:shd w:val="solid" w:color="FFFFFF" w:fill="auto"/>
              </w:rPr>
              <w:t>Ban Bí thư Trung ương Đảng;</w:t>
            </w:r>
            <w:r>
              <w:rPr>
                <w:sz w:val="16"/>
                <w:shd w:val="solid" w:color="FFFFFF" w:fill="auto"/>
              </w:rPr>
              <w:br/>
              <w:t>- Thủ tướng, các Phó Thủ tướng Chính phủ;</w:t>
            </w:r>
            <w:r>
              <w:rPr>
                <w:sz w:val="16"/>
                <w:shd w:val="solid" w:color="FFFFFF" w:fill="auto"/>
              </w:rPr>
              <w:br/>
            </w:r>
            <w:r>
              <w:rPr>
                <w:sz w:val="16"/>
                <w:shd w:val="solid" w:color="FFFFFF" w:fill="auto"/>
              </w:rPr>
              <w:lastRenderedPageBreak/>
              <w:t>- Văn phòng Trung ương và các Ban của Đảng;</w:t>
            </w:r>
            <w:r>
              <w:rPr>
                <w:sz w:val="16"/>
                <w:shd w:val="solid" w:color="FFFFFF" w:fill="auto"/>
              </w:rPr>
              <w:br/>
              <w:t>- Văn phòng Quốc hội;</w:t>
            </w:r>
            <w:r>
              <w:rPr>
                <w:sz w:val="16"/>
                <w:shd w:val="solid" w:color="FFFFFF" w:fill="auto"/>
              </w:rPr>
              <w:br/>
              <w:t>- Văn phòng Chủ tịch nước;</w:t>
            </w:r>
            <w:r>
              <w:rPr>
                <w:sz w:val="16"/>
                <w:shd w:val="solid" w:color="FFFFFF" w:fill="auto"/>
              </w:rPr>
              <w:br/>
              <w:t>- Văn phòng Chính phủ;</w:t>
            </w:r>
            <w:r>
              <w:rPr>
                <w:sz w:val="16"/>
                <w:shd w:val="solid" w:color="FFFFFF" w:fill="auto"/>
              </w:rPr>
              <w:br/>
              <w:t>- Các bộ, cơ quan ngang bộ, cơ quan thuộc Chính phủ;</w:t>
            </w:r>
            <w:r>
              <w:rPr>
                <w:sz w:val="16"/>
                <w:shd w:val="solid" w:color="FFFFFF" w:fill="auto"/>
              </w:rPr>
              <w:br/>
            </w:r>
            <w:r>
              <w:rPr>
                <w:sz w:val="16"/>
                <w:shd w:val="solid" w:color="FFFFFF" w:fill="auto"/>
                <w:lang w:val="vi-VN"/>
              </w:rPr>
              <w:t>- Viện Kiểm sát nhân dân tối cao;</w:t>
            </w:r>
            <w:r>
              <w:rPr>
                <w:sz w:val="16"/>
                <w:shd w:val="solid" w:color="FFFFFF" w:fill="auto"/>
                <w:lang w:val="vi-VN"/>
              </w:rPr>
              <w:br/>
              <w:t>- Tòa án nhân dân tối cao;</w:t>
            </w:r>
            <w:r>
              <w:rPr>
                <w:sz w:val="16"/>
                <w:shd w:val="solid" w:color="FFFFFF" w:fill="auto"/>
                <w:lang w:val="vi-VN"/>
              </w:rPr>
              <w:br/>
              <w:t>- Kiểm toán Nhà nước;</w:t>
            </w:r>
            <w:r>
              <w:rPr>
                <w:sz w:val="16"/>
                <w:shd w:val="solid" w:color="FFFFFF" w:fill="auto"/>
                <w:lang w:val="vi-VN"/>
              </w:rPr>
              <w:br/>
              <w:t>- Ủy ban TW Mặt trận Tổ quốc Việt Nam;</w:t>
            </w:r>
            <w:r>
              <w:rPr>
                <w:sz w:val="16"/>
                <w:shd w:val="solid" w:color="FFFFFF" w:fill="auto"/>
                <w:lang w:val="vi-VN"/>
              </w:rPr>
              <w:br/>
            </w:r>
            <w:r>
              <w:rPr>
                <w:caps/>
                <w:sz w:val="16"/>
                <w:shd w:val="solid" w:color="FFFFFF" w:fill="auto"/>
                <w:lang w:val="vi-VN"/>
              </w:rPr>
              <w:t xml:space="preserve">- </w:t>
            </w:r>
            <w:r>
              <w:rPr>
                <w:sz w:val="16"/>
                <w:shd w:val="solid" w:color="FFFFFF" w:fill="auto"/>
              </w:rPr>
              <w:t xml:space="preserve">Cơ </w:t>
            </w:r>
            <w:r>
              <w:rPr>
                <w:sz w:val="16"/>
                <w:shd w:val="solid" w:color="FFFFFF" w:fill="auto"/>
                <w:lang w:val="vi-VN"/>
              </w:rPr>
              <w:t>quan Trung ương của các đoàn thể;</w:t>
            </w:r>
            <w:r>
              <w:rPr>
                <w:sz w:val="16"/>
                <w:shd w:val="solid" w:color="FFFFFF" w:fill="auto"/>
                <w:lang w:val="vi-VN"/>
              </w:rPr>
              <w:br/>
              <w:t>- HĐND, UBND các tỉnh, thành phố trực thuộc TW;</w:t>
            </w:r>
            <w:r>
              <w:rPr>
                <w:sz w:val="16"/>
                <w:shd w:val="solid" w:color="FFFFFF" w:fill="auto"/>
                <w:lang w:val="vi-VN"/>
              </w:rPr>
              <w:br/>
              <w:t>- Sở Tài chính các tỉnh, thành phố trực thuộc TW;</w:t>
            </w:r>
            <w:r>
              <w:rPr>
                <w:sz w:val="16"/>
                <w:shd w:val="solid" w:color="FFFFFF" w:fill="auto"/>
                <w:lang w:val="vi-VN"/>
              </w:rPr>
              <w:br/>
              <w:t xml:space="preserve">- Cục Thuế, Cục </w:t>
            </w:r>
            <w:r>
              <w:rPr>
                <w:sz w:val="16"/>
                <w:shd w:val="solid" w:color="FFFFFF" w:fill="auto"/>
              </w:rPr>
              <w:t xml:space="preserve">HQ, </w:t>
            </w:r>
            <w:r>
              <w:rPr>
                <w:sz w:val="16"/>
                <w:shd w:val="solid" w:color="FFFFFF" w:fill="auto"/>
                <w:lang w:val="vi-VN"/>
              </w:rPr>
              <w:t>DTNN, KBNN các tỉnh, thành phố trực thuộc Trung ương;</w:t>
            </w:r>
            <w:r>
              <w:rPr>
                <w:sz w:val="16"/>
                <w:shd w:val="solid" w:color="FFFFFF" w:fill="auto"/>
                <w:lang w:val="vi-VN"/>
              </w:rPr>
              <w:br/>
              <w:t>- Các đơn vị, tổ chức thuộc Bộ Tài chính;</w:t>
            </w:r>
            <w:r>
              <w:rPr>
                <w:sz w:val="16"/>
                <w:shd w:val="solid" w:color="FFFFFF" w:fill="auto"/>
                <w:lang w:val="vi-VN"/>
              </w:rPr>
              <w:br/>
              <w:t>- Cục Kiểm tra văn bản QPPL (Bộ Tư pháp);</w:t>
            </w:r>
            <w:r>
              <w:rPr>
                <w:sz w:val="16"/>
                <w:shd w:val="solid" w:color="FFFFFF" w:fill="auto"/>
                <w:lang w:val="vi-VN"/>
              </w:rPr>
              <w:br/>
              <w:t>- Cổng TTĐT: Chính phủ, Bộ Tài chính;</w:t>
            </w:r>
            <w:r>
              <w:rPr>
                <w:sz w:val="16"/>
                <w:shd w:val="solid" w:color="FFFFFF" w:fill="auto"/>
                <w:lang w:val="vi-VN"/>
              </w:rPr>
              <w:br/>
              <w:t>- Lưu; VT, Vụ TCCB.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156A396" w14:textId="77777777" w:rsidR="00000000" w:rsidRDefault="00000000">
            <w:pPr>
              <w:spacing w:before="120"/>
              <w:jc w:val="center"/>
            </w:pPr>
            <w:r>
              <w:rPr>
                <w:b/>
                <w:bCs/>
                <w:sz w:val="20"/>
                <w:shd w:val="solid" w:color="FFFFFF" w:fill="auto"/>
              </w:rPr>
              <w:lastRenderedPageBreak/>
              <w:t>BỘ TRƯỞNG</w:t>
            </w:r>
            <w:r>
              <w:rPr>
                <w:b/>
                <w:bCs/>
                <w:sz w:val="20"/>
                <w:shd w:val="solid" w:color="FFFFFF" w:fill="auto"/>
              </w:rPr>
              <w:br/>
            </w:r>
            <w:r>
              <w:rPr>
                <w:b/>
                <w:bCs/>
                <w:sz w:val="20"/>
                <w:shd w:val="solid" w:color="FFFFFF" w:fill="auto"/>
              </w:rPr>
              <w:br/>
            </w:r>
            <w:r>
              <w:rPr>
                <w:b/>
                <w:bCs/>
                <w:sz w:val="20"/>
                <w:shd w:val="solid" w:color="FFFFFF" w:fill="auto"/>
              </w:rPr>
              <w:br/>
            </w:r>
            <w:r>
              <w:rPr>
                <w:b/>
                <w:bCs/>
                <w:sz w:val="20"/>
                <w:shd w:val="solid" w:color="FFFFFF" w:fill="auto"/>
              </w:rPr>
              <w:br/>
            </w:r>
            <w:r>
              <w:rPr>
                <w:b/>
                <w:bCs/>
                <w:sz w:val="20"/>
                <w:shd w:val="solid" w:color="FFFFFF" w:fill="auto"/>
              </w:rPr>
              <w:lastRenderedPageBreak/>
              <w:br/>
              <w:t>Hồ Đức Phớc</w:t>
            </w:r>
          </w:p>
        </w:tc>
      </w:tr>
    </w:tbl>
    <w:p w14:paraId="521DD795" w14:textId="77777777" w:rsidR="00666963" w:rsidRDefault="00000000">
      <w:pPr>
        <w:spacing w:before="120"/>
      </w:pPr>
      <w:r>
        <w:rPr>
          <w:color w:val="000000"/>
          <w:sz w:val="20"/>
          <w:shd w:val="solid" w:color="FFFFFF" w:fill="auto"/>
        </w:rPr>
        <w:lastRenderedPageBreak/>
        <w:t> </w:t>
      </w:r>
    </w:p>
    <w:sectPr w:rsidR="0066696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804"/>
    <w:rsid w:val="00666963"/>
    <w:rsid w:val="0087480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FB1651"/>
  <w15:chartTrackingRefBased/>
  <w15:docId w15:val="{C9005A8D-340B-4E44-9B95-66CF439A6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440</Words>
  <Characters>2511</Characters>
  <Application>Microsoft Office Word</Application>
  <DocSecurity>0</DocSecurity>
  <Lines>20</Lines>
  <Paragraphs>5</Paragraphs>
  <ScaleCrop>false</ScaleCrop>
  <Company/>
  <LinksUpToDate>false</LinksUpToDate>
  <CharactersWithSpaces>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2022-07-15T02:10:00Z</dcterms:created>
  <dcterms:modified xsi:type="dcterms:W3CDTF">2022-07-15T02:10:00Z</dcterms:modified>
</cp:coreProperties>
</file>