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52024429"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E34C0D9" w14:textId="77777777" w:rsidR="00000000" w:rsidRDefault="00000000">
            <w:pPr>
              <w:spacing w:before="120"/>
              <w:jc w:val="center"/>
            </w:pPr>
            <w:r>
              <w:rPr>
                <w:b/>
                <w:bCs/>
                <w:lang w:val="vi-VN"/>
              </w:rPr>
              <w:t>B</w:t>
            </w:r>
            <w:r>
              <w:rPr>
                <w:b/>
                <w:bCs/>
              </w:rPr>
              <w:t>Ộ</w:t>
            </w:r>
            <w:r>
              <w:rPr>
                <w:b/>
                <w:bCs/>
                <w:lang w:val="vi-VN"/>
              </w:rPr>
              <w:t xml:space="preserve"> TÀI CHÍNH</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8D72DB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14A64A"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BFDC1F2" w14:textId="77777777" w:rsidR="00000000" w:rsidRDefault="00000000">
            <w:pPr>
              <w:spacing w:before="120"/>
              <w:jc w:val="center"/>
            </w:pPr>
            <w:r>
              <w:rPr>
                <w:color w:val="000000"/>
                <w:lang w:val="vi-VN"/>
              </w:rPr>
              <w:t>Số: 33/2022/</w:t>
            </w:r>
            <w:r>
              <w:rPr>
                <w:color w:val="000000"/>
              </w:rPr>
              <w:t>TT</w:t>
            </w:r>
            <w:r>
              <w:rPr>
                <w:color w:val="000000"/>
                <w:lang w:val="vi-VN"/>
              </w:rPr>
              <w:t>-BTC</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11062DB8" w14:textId="77777777" w:rsidR="00000000" w:rsidRDefault="00000000">
            <w:pPr>
              <w:spacing w:before="120"/>
              <w:jc w:val="right"/>
            </w:pPr>
            <w:r>
              <w:rPr>
                <w:i/>
                <w:iCs/>
                <w:lang w:val="vi-VN"/>
              </w:rPr>
              <w:t>Hà Nội, ngày 09 tháng 6 năm 2022</w:t>
            </w:r>
          </w:p>
        </w:tc>
      </w:tr>
    </w:tbl>
    <w:p w14:paraId="743C326E" w14:textId="77777777" w:rsidR="00000000" w:rsidRDefault="00000000">
      <w:pPr>
        <w:spacing w:before="120" w:after="280" w:afterAutospacing="1"/>
      </w:pPr>
      <w:r>
        <w:rPr>
          <w:lang w:val="vi-VN"/>
        </w:rPr>
        <w:t> </w:t>
      </w:r>
    </w:p>
    <w:p w14:paraId="4467A617" w14:textId="77777777" w:rsidR="00000000" w:rsidRDefault="00000000">
      <w:pPr>
        <w:spacing w:before="120" w:after="280" w:afterAutospacing="1"/>
        <w:jc w:val="center"/>
      </w:pPr>
      <w:bookmarkStart w:id="0" w:name="loai_1"/>
      <w:r>
        <w:rPr>
          <w:b/>
          <w:bCs/>
          <w:lang w:val="vi-VN"/>
        </w:rPr>
        <w:t>THÔNG TƯ</w:t>
      </w:r>
      <w:bookmarkEnd w:id="0"/>
    </w:p>
    <w:p w14:paraId="575B8B35" w14:textId="77777777" w:rsidR="00000000" w:rsidRDefault="00000000">
      <w:pPr>
        <w:spacing w:before="120" w:after="280" w:afterAutospacing="1"/>
        <w:jc w:val="center"/>
      </w:pPr>
      <w:bookmarkStart w:id="1" w:name="loai_1_name"/>
      <w:r>
        <w:rPr>
          <w:lang w:val="vi-VN"/>
        </w:rPr>
        <w:t>SỬA ĐỔI, BỔ SUNG MỘT SỐ ĐIỀU CỦA THÔNG TƯ SỐ 26/2019/TT-BTC NGÀY 10 THÁNG 5 NĂM 2019 CỦA BỘ TRƯỞNG BỘ TÀI CHÍNH HƯỚNG DẪN VIỆC LẬP DỰ TOÁN, QUẢN LÝ, SỬ DỤNG VÀ QUYẾT TOÁN KINH PHÍ BẢO ĐẢM CÔNG TÁC CẢI CÁCH HÀNH CHÍNH NHÀ NƯỚC</w:t>
      </w:r>
      <w:bookmarkEnd w:id="1"/>
    </w:p>
    <w:p w14:paraId="6DF85BB3" w14:textId="77777777" w:rsidR="00000000" w:rsidRDefault="00000000">
      <w:pPr>
        <w:spacing w:before="120" w:after="280" w:afterAutospacing="1"/>
      </w:pPr>
      <w:r>
        <w:rPr>
          <w:i/>
          <w:iCs/>
          <w:lang w:val="vi-VN"/>
        </w:rPr>
        <w:t>Căn cứ Luật Ngân sách nhà nước ngày 25 tháng 6 năm 2015:</w:t>
      </w:r>
    </w:p>
    <w:p w14:paraId="6BE2CDFF" w14:textId="77777777" w:rsidR="00000000" w:rsidRDefault="00000000">
      <w:pPr>
        <w:spacing w:before="120" w:after="280" w:afterAutospacing="1"/>
      </w:pPr>
      <w:r>
        <w:rPr>
          <w:i/>
          <w:iCs/>
          <w:lang w:val="vi-VN"/>
        </w:rPr>
        <w:t>Căn cứ Nghị quyết số 34/2021/QH15 ngày 13 tháng 11 năm 2021 của Quốc hội về dự toán ngân sách nhà nước năm 2022;</w:t>
      </w:r>
    </w:p>
    <w:p w14:paraId="7705A618" w14:textId="77777777" w:rsidR="00000000" w:rsidRDefault="00000000">
      <w:pPr>
        <w:spacing w:before="120" w:after="280" w:afterAutospacing="1"/>
      </w:pPr>
      <w:r>
        <w:rPr>
          <w:i/>
          <w:iCs/>
          <w:lang w:val="vi-VN"/>
        </w:rPr>
        <w:t>Căn cứ Nghị định số 163/2016/NĐ-CP ngày 21 tháng 12 năm 2016 của Chính phủ hướng dẫn một số điều của Luật ngân sách nhà nước;</w:t>
      </w:r>
    </w:p>
    <w:p w14:paraId="2EC1EDAA"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60C771D7" w14:textId="77777777" w:rsidR="00000000" w:rsidRDefault="00000000">
      <w:pPr>
        <w:spacing w:before="120" w:after="280" w:afterAutospacing="1"/>
      </w:pPr>
      <w:r>
        <w:rPr>
          <w:i/>
          <w:iCs/>
          <w:lang w:val="vi-VN"/>
        </w:rPr>
        <w:t>Căn cứ Nghị định số 61/2018/NĐ-CP ngày 23 tháng 4 năm 2018 của Chính phủ về thực hiện cơ chế một cửa, một cửa liên thông trong giải quyết thủ tục hành chính;</w:t>
      </w:r>
    </w:p>
    <w:p w14:paraId="5E673233" w14:textId="77777777" w:rsidR="00000000" w:rsidRDefault="00000000">
      <w:pPr>
        <w:spacing w:before="120" w:after="280" w:afterAutospacing="1"/>
      </w:pPr>
      <w:r>
        <w:rPr>
          <w:i/>
          <w:iCs/>
          <w:lang w:val="vi-VN"/>
        </w:rP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14:paraId="37FDBA5A" w14:textId="77777777" w:rsidR="00000000" w:rsidRDefault="00000000">
      <w:pPr>
        <w:spacing w:before="120" w:after="280" w:afterAutospacing="1"/>
      </w:pPr>
      <w:r>
        <w:rPr>
          <w:i/>
          <w:iCs/>
          <w:lang w:val="vi-VN"/>
        </w:rPr>
        <w:t>Thực hiện Nghị quyết số 76/NQ-CP ngày 15 tháng 7 năm 2021 của Chính phủ ban hành Chương trình tổng thể cải cách hành chính nhà nước giai đoạn 2021-2030;</w:t>
      </w:r>
    </w:p>
    <w:p w14:paraId="1BE2D0C9" w14:textId="77777777" w:rsidR="00000000" w:rsidRDefault="00000000">
      <w:pPr>
        <w:spacing w:before="120" w:after="280" w:afterAutospacing="1"/>
      </w:pPr>
      <w:r>
        <w:rPr>
          <w:i/>
          <w:iCs/>
          <w:lang w:val="vi-VN"/>
        </w:rPr>
        <w:t>Theo đề nghị của Vụ trưởng Vụ Tài chính Hành chính sự nghiệp;</w:t>
      </w:r>
    </w:p>
    <w:p w14:paraId="67706A70" w14:textId="77777777" w:rsidR="00000000" w:rsidRDefault="00000000">
      <w:pPr>
        <w:spacing w:before="120" w:after="280" w:afterAutospacing="1"/>
      </w:pPr>
      <w:r>
        <w:rPr>
          <w:i/>
          <w:iCs/>
          <w:lang w:val="vi-VN"/>
        </w:rPr>
        <w:t>Bộ trưởng Bộ Tài chính ban hành Thông tư sửa đổi, bổ sung một số điều của Thông tư số 26/2019/TT-BTC ngày 10 tháng 5 năm 2019 của Bộ trưởng Bộ Tài chính hướng dẫn việc lập dự toán, quản lý, sử dụng và quyết toán kinh phí bảo đảm công tác cải cách hành chính nhà nước (sau đây gọi tắt là Thông tư số 26/2019/TT-BTC).</w:t>
      </w:r>
    </w:p>
    <w:p w14:paraId="5EB02619" w14:textId="77777777" w:rsidR="00000000" w:rsidRDefault="00000000">
      <w:pPr>
        <w:spacing w:before="120" w:after="280" w:afterAutospacing="1"/>
      </w:pPr>
      <w:bookmarkStart w:id="2" w:name="dieu_1"/>
      <w:r>
        <w:rPr>
          <w:b/>
          <w:bCs/>
          <w:color w:val="000000"/>
          <w:lang w:val="vi-VN"/>
        </w:rPr>
        <w:t>Điều 1. Sửa đổi, bổ sung một số điều của Thông tư số 26/2019/TT-BTC</w:t>
      </w:r>
      <w:bookmarkEnd w:id="2"/>
    </w:p>
    <w:p w14:paraId="26B27E00" w14:textId="77777777" w:rsidR="00000000" w:rsidRDefault="00000000">
      <w:pPr>
        <w:spacing w:before="120" w:after="280" w:afterAutospacing="1"/>
      </w:pPr>
      <w:bookmarkStart w:id="3" w:name="khoan_1"/>
      <w:r>
        <w:rPr>
          <w:color w:val="000000"/>
          <w:lang w:val="vi-VN"/>
        </w:rPr>
        <w:t>1. Sửa đổi, bổ sung</w:t>
      </w:r>
      <w:bookmarkEnd w:id="3"/>
      <w:r>
        <w:rPr>
          <w:color w:val="000000"/>
          <w:lang w:val="vi-VN"/>
        </w:rPr>
        <w:t xml:space="preserve"> </w:t>
      </w:r>
      <w:bookmarkStart w:id="4" w:name="dc_1"/>
      <w:r>
        <w:rPr>
          <w:color w:val="000000"/>
          <w:lang w:val="vi-VN"/>
        </w:rPr>
        <w:t>khoản 2 Điều 3</w:t>
      </w:r>
      <w:bookmarkEnd w:id="4"/>
      <w:r>
        <w:rPr>
          <w:color w:val="000000"/>
          <w:lang w:val="vi-VN"/>
        </w:rPr>
        <w:t xml:space="preserve"> </w:t>
      </w:r>
      <w:bookmarkStart w:id="5" w:name="khoan_1_name"/>
      <w:r>
        <w:rPr>
          <w:color w:val="000000"/>
          <w:lang w:val="vi-VN"/>
        </w:rPr>
        <w:t>như sau:</w:t>
      </w:r>
      <w:bookmarkEnd w:id="5"/>
    </w:p>
    <w:p w14:paraId="28989593" w14:textId="77777777" w:rsidR="00000000" w:rsidRDefault="00000000">
      <w:pPr>
        <w:spacing w:before="120" w:after="280" w:afterAutospacing="1"/>
      </w:pPr>
      <w:r>
        <w:rPr>
          <w:color w:val="000000"/>
          <w:lang w:val="vi-VN"/>
        </w:rPr>
        <w:lastRenderedPageBreak/>
        <w:t>“2. Chi xây dựng đề cương chương trình, kế hoạch cải cách hành chính hàng năm, 5 năm, 10 năm; xây dựng báo cáo cải cách hành chính chuyên đề, định kỳ”.</w:t>
      </w:r>
    </w:p>
    <w:p w14:paraId="00AEFE80" w14:textId="77777777" w:rsidR="00000000" w:rsidRDefault="00000000">
      <w:pPr>
        <w:spacing w:before="120" w:after="280" w:afterAutospacing="1"/>
      </w:pPr>
      <w:bookmarkStart w:id="6" w:name="khoan_2"/>
      <w:r>
        <w:rPr>
          <w:color w:val="000000"/>
          <w:lang w:val="vi-VN"/>
        </w:rPr>
        <w:t>2. Sửa đổi, bổ sung</w:t>
      </w:r>
      <w:bookmarkEnd w:id="6"/>
      <w:r>
        <w:rPr>
          <w:color w:val="000000"/>
          <w:lang w:val="vi-VN"/>
        </w:rPr>
        <w:t xml:space="preserve"> </w:t>
      </w:r>
      <w:bookmarkStart w:id="7" w:name="dc_2"/>
      <w:r>
        <w:rPr>
          <w:color w:val="000000"/>
          <w:lang w:val="vi-VN"/>
        </w:rPr>
        <w:t>khoản 15 Điều 3</w:t>
      </w:r>
      <w:bookmarkEnd w:id="7"/>
      <w:r>
        <w:rPr>
          <w:color w:val="000000"/>
          <w:lang w:val="vi-VN"/>
        </w:rPr>
        <w:t xml:space="preserve"> </w:t>
      </w:r>
      <w:bookmarkStart w:id="8" w:name="khoan_2_name"/>
      <w:r>
        <w:rPr>
          <w:color w:val="000000"/>
          <w:lang w:val="vi-VN"/>
        </w:rPr>
        <w:t>như sau:</w:t>
      </w:r>
      <w:bookmarkEnd w:id="8"/>
    </w:p>
    <w:p w14:paraId="54661CA9" w14:textId="77777777" w:rsidR="00000000" w:rsidRDefault="00000000">
      <w:pPr>
        <w:spacing w:before="120" w:after="280" w:afterAutospacing="1"/>
      </w:pPr>
      <w:r>
        <w:rPr>
          <w:color w:val="000000"/>
          <w:lang w:val="vi-VN"/>
        </w:rPr>
        <w:t>“15. Chi xây dựng, duy trì hệ thống công nghệ thông tin phục vụ công tác giải quyết thủ tục hành chính”.</w:t>
      </w:r>
    </w:p>
    <w:p w14:paraId="6C666705" w14:textId="77777777" w:rsidR="00000000" w:rsidRDefault="00000000">
      <w:pPr>
        <w:spacing w:before="120" w:after="280" w:afterAutospacing="1"/>
      </w:pPr>
      <w:bookmarkStart w:id="9" w:name="khoan_3"/>
      <w:r>
        <w:rPr>
          <w:color w:val="000000"/>
          <w:lang w:val="vi-VN"/>
        </w:rPr>
        <w:t>3. Sửa đổi, bổ sung</w:t>
      </w:r>
      <w:bookmarkEnd w:id="9"/>
      <w:r>
        <w:rPr>
          <w:color w:val="000000"/>
          <w:lang w:val="vi-VN"/>
        </w:rPr>
        <w:t xml:space="preserve"> </w:t>
      </w:r>
      <w:bookmarkStart w:id="10" w:name="dc_3"/>
      <w:r>
        <w:rPr>
          <w:color w:val="000000"/>
          <w:lang w:val="vi-VN"/>
        </w:rPr>
        <w:t>khoản 1 Điều 4</w:t>
      </w:r>
      <w:bookmarkEnd w:id="10"/>
      <w:r>
        <w:rPr>
          <w:color w:val="000000"/>
          <w:lang w:val="vi-VN"/>
        </w:rPr>
        <w:t xml:space="preserve"> </w:t>
      </w:r>
      <w:bookmarkStart w:id="11" w:name="khoan_3_name"/>
      <w:r>
        <w:rPr>
          <w:color w:val="000000"/>
          <w:lang w:val="vi-VN"/>
        </w:rPr>
        <w:t>như sau:</w:t>
      </w:r>
      <w:bookmarkEnd w:id="11"/>
    </w:p>
    <w:p w14:paraId="2F8B1823" w14:textId="77777777" w:rsidR="00000000" w:rsidRDefault="00000000">
      <w:pPr>
        <w:spacing w:before="120" w:after="280" w:afterAutospacing="1"/>
      </w:pPr>
      <w:r>
        <w:rPr>
          <w:color w:val="000000"/>
          <w:lang w:val="vi-VN"/>
        </w:rPr>
        <w:t>“1. Chi xây dựng đề cương chương trình, kế hoạch cải cách hành chính hàng năm, 5 năm, 10 năm; chi xây dựng Bộ chỉ số theo dõi, đánh giá cải cách hành chính của các bộ, cơ quan trung ương, địa phương; chi tổ chức các cuộc họp góp ý, thẩm định đề cương chương trình, kế hoạch cải cách hành chính hàng năm, 5 năm, 10 năm và góp ý báo cáo cải cách hành chính chuyên đề, định kỳ: Thực hiện theo quy định đối với mức chi xây dựng chương trình, đề án, kế hoạch quy định tại Thông tư liên tịch số 14/2014/TTLT-BTC-BTP ngày 27 tháng 01 năm 2014 của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w:t>
      </w:r>
    </w:p>
    <w:p w14:paraId="0629D128" w14:textId="77777777" w:rsidR="00000000" w:rsidRDefault="00000000">
      <w:pPr>
        <w:spacing w:before="120" w:after="280" w:afterAutospacing="1"/>
      </w:pPr>
      <w:bookmarkStart w:id="12" w:name="khoan_4"/>
      <w:r>
        <w:rPr>
          <w:color w:val="000000"/>
          <w:lang w:val="vi-VN"/>
        </w:rPr>
        <w:t>4. Sửa đổi</w:t>
      </w:r>
      <w:bookmarkEnd w:id="12"/>
      <w:r>
        <w:rPr>
          <w:color w:val="000000"/>
          <w:lang w:val="vi-VN"/>
        </w:rPr>
        <w:t xml:space="preserve"> </w:t>
      </w:r>
      <w:bookmarkStart w:id="13" w:name="dc_4"/>
      <w:r>
        <w:rPr>
          <w:color w:val="000000"/>
          <w:lang w:val="vi-VN"/>
        </w:rPr>
        <w:t>điểm b khoản 7 Điều 4</w:t>
      </w:r>
      <w:bookmarkEnd w:id="13"/>
      <w:r>
        <w:rPr>
          <w:color w:val="000000"/>
          <w:lang w:val="vi-VN"/>
        </w:rPr>
        <w:t xml:space="preserve"> </w:t>
      </w:r>
      <w:bookmarkStart w:id="14" w:name="khoan_4_name"/>
      <w:r>
        <w:rPr>
          <w:color w:val="000000"/>
          <w:lang w:val="vi-VN"/>
        </w:rPr>
        <w:t>như sau:</w:t>
      </w:r>
      <w:bookmarkEnd w:id="14"/>
    </w:p>
    <w:p w14:paraId="0D49A83A" w14:textId="77777777" w:rsidR="00000000" w:rsidRDefault="00000000">
      <w:pPr>
        <w:spacing w:before="120" w:after="280" w:afterAutospacing="1"/>
      </w:pPr>
      <w:r>
        <w:rPr>
          <w:color w:val="000000"/>
          <w:lang w:val="vi-VN"/>
        </w:rPr>
        <w:t>“7. Chi thông tin, tuyên truyền về cải cách hành chính</w:t>
      </w:r>
    </w:p>
    <w:p w14:paraId="5DC7717D" w14:textId="77777777" w:rsidR="00000000" w:rsidRDefault="00000000">
      <w:pPr>
        <w:spacing w:before="120" w:after="280" w:afterAutospacing="1"/>
      </w:pPr>
      <w:r>
        <w:rPr>
          <w:color w:val="000000"/>
          <w:lang w:val="vi-VN"/>
        </w:rPr>
        <w:t>b) Chi tạo lập thông tin điện tử phục vụ công tác tuyên truyền cải cách hành chính: Thực hiện theo quy định về quản lý đầu tư ứng dụng công nghệ thông tin sử dụng nguồn vốn ngân sách nhà nước và quy định của pháp luật có liên quan; các định mức kinh tế - kỹ thuật trong lĩnh vực thông tin và truyền thông”.</w:t>
      </w:r>
    </w:p>
    <w:p w14:paraId="4759BFFF" w14:textId="77777777" w:rsidR="00000000" w:rsidRDefault="00000000">
      <w:pPr>
        <w:spacing w:before="120" w:after="280" w:afterAutospacing="1"/>
      </w:pPr>
      <w:bookmarkStart w:id="15" w:name="khoan_5"/>
      <w:r>
        <w:rPr>
          <w:color w:val="000000"/>
          <w:lang w:val="vi-VN"/>
        </w:rPr>
        <w:t>5. Sửa đổi</w:t>
      </w:r>
      <w:bookmarkEnd w:id="15"/>
      <w:r>
        <w:rPr>
          <w:color w:val="000000"/>
          <w:lang w:val="vi-VN"/>
        </w:rPr>
        <w:t xml:space="preserve"> </w:t>
      </w:r>
      <w:bookmarkStart w:id="16" w:name="dc_5"/>
      <w:r>
        <w:rPr>
          <w:color w:val="000000"/>
          <w:lang w:val="vi-VN"/>
        </w:rPr>
        <w:t>khoản 12 Điều 4</w:t>
      </w:r>
      <w:bookmarkEnd w:id="16"/>
      <w:r>
        <w:rPr>
          <w:color w:val="000000"/>
          <w:lang w:val="vi-VN"/>
        </w:rPr>
        <w:t xml:space="preserve"> </w:t>
      </w:r>
      <w:bookmarkStart w:id="17" w:name="khoan_5_name"/>
      <w:r>
        <w:rPr>
          <w:color w:val="000000"/>
          <w:lang w:val="vi-VN"/>
        </w:rPr>
        <w:t>như sau:</w:t>
      </w:r>
      <w:bookmarkEnd w:id="17"/>
    </w:p>
    <w:p w14:paraId="59276F94" w14:textId="77777777" w:rsidR="00000000" w:rsidRDefault="00000000">
      <w:pPr>
        <w:spacing w:before="120" w:after="280" w:afterAutospacing="1"/>
      </w:pPr>
      <w:r>
        <w:rPr>
          <w:color w:val="000000"/>
          <w:lang w:val="vi-VN"/>
        </w:rPr>
        <w:t>“12. Chi xây dựng, duy trì hệ thống công nghệ thông tin phục vụ công tác giải quyết thủ tục hành chính; chi xây dựng, nâng cấp, quản lý và vận hành hệ thống cơ sở dữ liệu cải cách hành chính, website cải cách hành chính; chi số hóa phục vụ công tác cải cách hành chính: Thực hiện theo quy định về quản lý đầu tư ứng dụng công nghệ thông tin sử dụng nguồn vốn ngân sách nhà nước và quy định của pháp luật có liên quan; các định mức kinh tế - kỹ thuật trong lĩnh vực thông tin và truyền thông”.</w:t>
      </w:r>
    </w:p>
    <w:p w14:paraId="58F067B7" w14:textId="77777777" w:rsidR="00000000" w:rsidRDefault="00000000">
      <w:pPr>
        <w:spacing w:before="120" w:after="280" w:afterAutospacing="1"/>
      </w:pPr>
      <w:bookmarkStart w:id="18" w:name="khoan_6"/>
      <w:r>
        <w:rPr>
          <w:color w:val="000000"/>
          <w:lang w:val="vi-VN"/>
        </w:rPr>
        <w:t>6. Sửa đổi</w:t>
      </w:r>
      <w:bookmarkEnd w:id="18"/>
      <w:r>
        <w:rPr>
          <w:color w:val="000000"/>
          <w:lang w:val="vi-VN"/>
        </w:rPr>
        <w:t xml:space="preserve"> </w:t>
      </w:r>
      <w:bookmarkStart w:id="19" w:name="dc_6"/>
      <w:r>
        <w:rPr>
          <w:color w:val="000000"/>
          <w:lang w:val="vi-VN"/>
        </w:rPr>
        <w:t>khoản 14 Điều 4</w:t>
      </w:r>
      <w:bookmarkEnd w:id="19"/>
      <w:r>
        <w:rPr>
          <w:color w:val="000000"/>
          <w:lang w:val="vi-VN"/>
        </w:rPr>
        <w:t xml:space="preserve"> </w:t>
      </w:r>
      <w:bookmarkStart w:id="20" w:name="khoan_6_name"/>
      <w:r>
        <w:rPr>
          <w:color w:val="000000"/>
          <w:lang w:val="vi-VN"/>
        </w:rPr>
        <w:t>như sau:</w:t>
      </w:r>
      <w:bookmarkEnd w:id="20"/>
    </w:p>
    <w:p w14:paraId="19C7C75A" w14:textId="77777777" w:rsidR="00000000" w:rsidRDefault="00000000">
      <w:pPr>
        <w:spacing w:before="120" w:after="280" w:afterAutospacing="1"/>
      </w:pPr>
      <w:r>
        <w:rPr>
          <w:color w:val="000000"/>
          <w:lang w:val="vi-VN"/>
        </w:rPr>
        <w:t>“14. Chi làm thêm giờ: Thực hiện theo quy định của Bộ luật Lao động và các văn bản quy phạm pháp luật hướng dẫn thi hành Luật hiện hành”.</w:t>
      </w:r>
    </w:p>
    <w:p w14:paraId="20378271" w14:textId="77777777" w:rsidR="00000000" w:rsidRDefault="00000000">
      <w:pPr>
        <w:spacing w:before="120" w:after="280" w:afterAutospacing="1"/>
      </w:pPr>
      <w:bookmarkStart w:id="21" w:name="khoan_7"/>
      <w:r>
        <w:rPr>
          <w:color w:val="000000"/>
          <w:lang w:val="vi-VN"/>
        </w:rPr>
        <w:t>7. Sửa đổi đoạn cuối</w:t>
      </w:r>
      <w:bookmarkEnd w:id="21"/>
      <w:r>
        <w:rPr>
          <w:color w:val="000000"/>
          <w:lang w:val="vi-VN"/>
        </w:rPr>
        <w:t xml:space="preserve"> </w:t>
      </w:r>
      <w:bookmarkStart w:id="22" w:name="dc_7"/>
      <w:r>
        <w:rPr>
          <w:color w:val="000000"/>
          <w:lang w:val="vi-VN"/>
        </w:rPr>
        <w:t>khoản 1 Điều 6</w:t>
      </w:r>
      <w:bookmarkEnd w:id="22"/>
      <w:r>
        <w:rPr>
          <w:color w:val="000000"/>
          <w:lang w:val="vi-VN"/>
        </w:rPr>
        <w:t xml:space="preserve"> </w:t>
      </w:r>
      <w:bookmarkStart w:id="23" w:name="khoan_7_name"/>
      <w:r>
        <w:rPr>
          <w:color w:val="000000"/>
          <w:lang w:val="vi-VN"/>
        </w:rPr>
        <w:t>như sau:</w:t>
      </w:r>
      <w:bookmarkEnd w:id="23"/>
    </w:p>
    <w:p w14:paraId="0C93EC1D" w14:textId="77777777" w:rsidR="00000000" w:rsidRDefault="00000000">
      <w:pPr>
        <w:spacing w:before="120" w:after="280" w:afterAutospacing="1"/>
      </w:pPr>
      <w:r>
        <w:rPr>
          <w:color w:val="000000"/>
          <w:lang w:val="vi-VN"/>
        </w:rPr>
        <w:lastRenderedPageBreak/>
        <w:t>“Chế độ bồi dưỡng ngoài lương đối với cán bộ, công chức, viên chức và người lao động quy định tại Thông tư này được áp dụng cho đến khi thực hiện chế độ tiền lương mới đối với cán bộ, công chức, viên chức, lực lượng vũ trang do Chính phủ ban hành để triển khai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14:paraId="21D5DDD1" w14:textId="77777777" w:rsidR="00000000" w:rsidRDefault="00000000">
      <w:pPr>
        <w:spacing w:before="120" w:after="280" w:afterAutospacing="1"/>
      </w:pPr>
      <w:bookmarkStart w:id="24" w:name="dieu_2"/>
      <w:r>
        <w:rPr>
          <w:b/>
          <w:bCs/>
          <w:color w:val="000000"/>
          <w:lang w:val="vi-VN"/>
        </w:rPr>
        <w:t>Điều 2. Điều khoản thi hành</w:t>
      </w:r>
      <w:bookmarkEnd w:id="24"/>
    </w:p>
    <w:p w14:paraId="24AB6721" w14:textId="77777777" w:rsidR="00000000" w:rsidRDefault="00000000">
      <w:pPr>
        <w:spacing w:before="120" w:after="280" w:afterAutospacing="1"/>
      </w:pPr>
      <w:r>
        <w:rPr>
          <w:color w:val="000000"/>
          <w:lang w:val="vi-VN"/>
        </w:rPr>
        <w:t>1. Thông tư này có hiệu lực thi hành từ ngày 15 tháng 8 năm 2022.</w:t>
      </w:r>
    </w:p>
    <w:p w14:paraId="5EA02C69" w14:textId="77777777" w:rsidR="00000000" w:rsidRDefault="00000000">
      <w:pPr>
        <w:spacing w:before="120" w:after="280" w:afterAutospacing="1"/>
      </w:pPr>
      <w:r>
        <w:rPr>
          <w:color w:val="000000"/>
          <w:lang w:val="vi-VN"/>
        </w:rPr>
        <w:t>2. Trong quá trình thực hiện, nếu có vướng mắc đề nghị các cơ quan, đơn vị phản ánh về Bộ Tài chính để kịp thời giải quyết./.</w:t>
      </w:r>
    </w:p>
    <w:p w14:paraId="41D4A6AA"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68841346"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60A9E87" w14:textId="77777777" w:rsidR="00000000" w:rsidRDefault="00000000">
            <w:pPr>
              <w:spacing w:before="120" w:after="280" w:afterAutospacing="1"/>
            </w:pPr>
            <w:r>
              <w:rPr>
                <w:lang w:val="vi-VN"/>
              </w:rPr>
              <w:t> </w:t>
            </w:r>
          </w:p>
          <w:p w14:paraId="3070618F" w14:textId="77777777" w:rsidR="00000000" w:rsidRDefault="00000000">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Văn phòng Tổng Bí thư; Văn phòng Quốc hội;</w:t>
            </w:r>
            <w:r>
              <w:rPr>
                <w:sz w:val="16"/>
                <w:lang w:val="vi-VN"/>
              </w:rPr>
              <w:br/>
              <w:t>- Văn phòng Chủ tịch nước;</w:t>
            </w:r>
            <w:r>
              <w:rPr>
                <w:sz w:val="16"/>
                <w:lang w:val="vi-VN"/>
              </w:rPr>
              <w:br/>
              <w:t>- Văn phòng Chính phủ;</w:t>
            </w:r>
            <w:r>
              <w:rPr>
                <w:sz w:val="16"/>
                <w:lang w:val="vi-VN"/>
              </w:rPr>
              <w:br/>
              <w:t>- Văn phòng Trung ương và các Ban của Đảng;</w:t>
            </w:r>
            <w:r>
              <w:rPr>
                <w:sz w:val="16"/>
                <w:lang w:val="vi-VN"/>
              </w:rPr>
              <w:br/>
              <w:t>- Viện Kiểm sát nhân dân tối cao;</w:t>
            </w:r>
            <w:r>
              <w:rPr>
                <w:sz w:val="16"/>
                <w:lang w:val="vi-VN"/>
              </w:rPr>
              <w:br/>
              <w:t>- Tòa án nhân dân tối cao, Kiểm toán Nhà nước;</w:t>
            </w:r>
            <w:r>
              <w:rPr>
                <w:sz w:val="16"/>
                <w:lang w:val="vi-VN"/>
              </w:rPr>
              <w:br/>
              <w:t>- Các Bộ, cơ quan ngang Bộ, cơ quan thuộc Chính phủ;</w:t>
            </w:r>
            <w:r>
              <w:rPr>
                <w:sz w:val="16"/>
                <w:lang w:val="vi-VN"/>
              </w:rPr>
              <w:br/>
              <w:t>- HĐND, UBND các tỉnh, thành phố trực thuộc TW;</w:t>
            </w:r>
            <w:r>
              <w:rPr>
                <w:sz w:val="16"/>
                <w:lang w:val="vi-VN"/>
              </w:rPr>
              <w:br/>
              <w:t>- Cơ quan Trung ương các Hội, Đoàn thể;</w:t>
            </w:r>
            <w:r>
              <w:rPr>
                <w:sz w:val="16"/>
                <w:lang w:val="vi-VN"/>
              </w:rPr>
              <w:br/>
              <w:t>- Sở Tài chính, KBNN các tỉnh, thành phố trực thuộc TW;</w:t>
            </w:r>
            <w:r>
              <w:rPr>
                <w:sz w:val="16"/>
                <w:lang w:val="vi-VN"/>
              </w:rPr>
              <w:br/>
              <w:t>- Cục Kiểm tra văn bản QPPL - Bộ Tư pháp;</w:t>
            </w:r>
            <w:r>
              <w:rPr>
                <w:sz w:val="16"/>
                <w:lang w:val="vi-VN"/>
              </w:rPr>
              <w:br/>
              <w:t>- Công báo, Cổng TTĐT Chính phủ;</w:t>
            </w:r>
            <w:r>
              <w:rPr>
                <w:sz w:val="16"/>
                <w:lang w:val="vi-VN"/>
              </w:rPr>
              <w:br/>
              <w:t>- Cổng TTĐT Bộ Tài chính;</w:t>
            </w:r>
            <w:r>
              <w:rPr>
                <w:sz w:val="16"/>
                <w:lang w:val="vi-VN"/>
              </w:rPr>
              <w:br/>
              <w:t>- Các đơn vị thuộc BTC;</w:t>
            </w:r>
            <w:r>
              <w:rPr>
                <w:sz w:val="16"/>
                <w:lang w:val="vi-VN"/>
              </w:rPr>
              <w:br/>
              <w:t>- Lưu: VT, HCSN (250 bản).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625B6D7C"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Võ Thành Hưng</w:t>
            </w:r>
          </w:p>
        </w:tc>
      </w:tr>
    </w:tbl>
    <w:p w14:paraId="2DE44D7B" w14:textId="77777777" w:rsidR="00600902" w:rsidRDefault="00000000">
      <w:pPr>
        <w:spacing w:before="120" w:after="280" w:afterAutospacing="1"/>
      </w:pPr>
      <w:r>
        <w:rPr>
          <w:color w:val="000000"/>
          <w:lang w:val="vi-VN"/>
        </w:rPr>
        <w:t> </w:t>
      </w:r>
    </w:p>
    <w:sectPr w:rsidR="0060090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97"/>
    <w:rsid w:val="00176297"/>
    <w:rsid w:val="0060090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359DB"/>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4738</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2022-07-15T02:07:00Z</dcterms:created>
  <dcterms:modified xsi:type="dcterms:W3CDTF">2022-07-15T02:07:00Z</dcterms:modified>
</cp:coreProperties>
</file>