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7"/>
        <w:gridCol w:w="5363"/>
      </w:tblGrid>
      <w:tr w:rsidR="004F779C" w:rsidRPr="00FE7693" w14:paraId="45AAD920" w14:textId="77777777">
        <w:tc>
          <w:tcPr>
            <w:tcW w:w="3348" w:type="dxa"/>
          </w:tcPr>
          <w:p w14:paraId="73CD72D4" w14:textId="77777777" w:rsidR="004F779C" w:rsidRPr="00FE7693" w:rsidRDefault="004F779C" w:rsidP="00FE7693">
            <w:pPr>
              <w:spacing w:before="120"/>
              <w:jc w:val="center"/>
              <w:rPr>
                <w:rFonts w:ascii="Arial" w:hAnsi="Arial" w:cs="Arial"/>
                <w:b/>
                <w:sz w:val="20"/>
                <w:szCs w:val="20"/>
              </w:rPr>
            </w:pPr>
            <w:r w:rsidRPr="00FE7693">
              <w:rPr>
                <w:rFonts w:ascii="Arial" w:hAnsi="Arial" w:cs="Arial"/>
                <w:b/>
                <w:sz w:val="20"/>
                <w:szCs w:val="20"/>
              </w:rPr>
              <w:t>BỘ Y TẾ</w:t>
            </w:r>
            <w:r w:rsidRPr="00FE7693">
              <w:rPr>
                <w:rFonts w:ascii="Arial" w:hAnsi="Arial" w:cs="Arial"/>
                <w:b/>
                <w:sz w:val="20"/>
                <w:szCs w:val="20"/>
              </w:rPr>
              <w:br/>
              <w:t>-------</w:t>
            </w:r>
          </w:p>
        </w:tc>
        <w:tc>
          <w:tcPr>
            <w:tcW w:w="5508" w:type="dxa"/>
          </w:tcPr>
          <w:p w14:paraId="2BBB25EE" w14:textId="77777777" w:rsidR="004F779C" w:rsidRPr="00FE7693" w:rsidRDefault="004F779C" w:rsidP="00FE7693">
            <w:pPr>
              <w:spacing w:before="120"/>
              <w:jc w:val="center"/>
              <w:rPr>
                <w:rFonts w:ascii="Arial" w:hAnsi="Arial" w:cs="Arial"/>
                <w:sz w:val="20"/>
                <w:szCs w:val="20"/>
              </w:rPr>
            </w:pPr>
            <w:r w:rsidRPr="00FE7693">
              <w:rPr>
                <w:rFonts w:ascii="Arial" w:hAnsi="Arial" w:cs="Arial"/>
                <w:b/>
                <w:sz w:val="20"/>
                <w:szCs w:val="20"/>
              </w:rPr>
              <w:t>CỘNG HÒA XÃ HỘI CHỦ NGHĨA VIỆT NAM</w:t>
            </w:r>
            <w:r w:rsidRPr="00FE7693">
              <w:rPr>
                <w:rFonts w:ascii="Arial" w:hAnsi="Arial" w:cs="Arial"/>
                <w:b/>
                <w:sz w:val="20"/>
                <w:szCs w:val="20"/>
              </w:rPr>
              <w:br/>
              <w:t xml:space="preserve">Độc lập - Tự do - Hạnh phúc </w:t>
            </w:r>
            <w:r w:rsidRPr="00FE7693">
              <w:rPr>
                <w:rFonts w:ascii="Arial" w:hAnsi="Arial" w:cs="Arial"/>
                <w:b/>
                <w:sz w:val="20"/>
                <w:szCs w:val="20"/>
              </w:rPr>
              <w:br/>
              <w:t>---------------</w:t>
            </w:r>
          </w:p>
        </w:tc>
      </w:tr>
      <w:tr w:rsidR="004F779C" w:rsidRPr="00FE7693" w14:paraId="348961DD" w14:textId="77777777">
        <w:tc>
          <w:tcPr>
            <w:tcW w:w="3348" w:type="dxa"/>
          </w:tcPr>
          <w:p w14:paraId="46588D45" w14:textId="77777777" w:rsidR="004F779C" w:rsidRPr="00FE7693" w:rsidRDefault="004F779C" w:rsidP="00FE7693">
            <w:pPr>
              <w:spacing w:before="120"/>
              <w:jc w:val="center"/>
              <w:rPr>
                <w:rFonts w:ascii="Arial" w:hAnsi="Arial" w:cs="Arial"/>
                <w:sz w:val="20"/>
                <w:szCs w:val="20"/>
              </w:rPr>
            </w:pPr>
            <w:r w:rsidRPr="00FE7693">
              <w:rPr>
                <w:rFonts w:ascii="Arial" w:hAnsi="Arial" w:cs="Arial"/>
                <w:sz w:val="20"/>
                <w:szCs w:val="20"/>
              </w:rPr>
              <w:t>Số: 2892/QĐ-BYT</w:t>
            </w:r>
          </w:p>
        </w:tc>
        <w:tc>
          <w:tcPr>
            <w:tcW w:w="5508" w:type="dxa"/>
          </w:tcPr>
          <w:p w14:paraId="4E307871" w14:textId="77777777" w:rsidR="004F779C" w:rsidRPr="00FE7693" w:rsidRDefault="004F779C" w:rsidP="00FE7693">
            <w:pPr>
              <w:spacing w:before="120"/>
              <w:jc w:val="right"/>
              <w:rPr>
                <w:rFonts w:ascii="Arial" w:hAnsi="Arial" w:cs="Arial"/>
                <w:i/>
                <w:sz w:val="20"/>
                <w:szCs w:val="20"/>
              </w:rPr>
            </w:pPr>
            <w:r w:rsidRPr="00FE7693">
              <w:rPr>
                <w:rFonts w:ascii="Arial" w:hAnsi="Arial" w:cs="Arial"/>
                <w:i/>
                <w:sz w:val="20"/>
                <w:szCs w:val="20"/>
              </w:rPr>
              <w:t>Hà Nội, ngày 22 tháng 10 năm 2022</w:t>
            </w:r>
          </w:p>
        </w:tc>
      </w:tr>
    </w:tbl>
    <w:p w14:paraId="157C3AD2" w14:textId="77777777" w:rsidR="004F779C" w:rsidRPr="00FE7693" w:rsidRDefault="004F779C" w:rsidP="00FE7693">
      <w:pPr>
        <w:widowControl w:val="0"/>
        <w:autoSpaceDE w:val="0"/>
        <w:autoSpaceDN w:val="0"/>
        <w:adjustRightInd w:val="0"/>
        <w:spacing w:before="120"/>
        <w:jc w:val="center"/>
        <w:rPr>
          <w:rFonts w:ascii="Arial" w:hAnsi="Arial" w:cs="Arial"/>
          <w:sz w:val="20"/>
          <w:szCs w:val="26"/>
        </w:rPr>
      </w:pPr>
    </w:p>
    <w:p w14:paraId="59E95478" w14:textId="77777777" w:rsidR="00766084" w:rsidRPr="00FE7693" w:rsidRDefault="004F779C" w:rsidP="00FE7693">
      <w:pPr>
        <w:widowControl w:val="0"/>
        <w:autoSpaceDE w:val="0"/>
        <w:autoSpaceDN w:val="0"/>
        <w:adjustRightInd w:val="0"/>
        <w:spacing w:before="120"/>
        <w:jc w:val="center"/>
        <w:rPr>
          <w:rFonts w:ascii="Arial" w:hAnsi="Arial" w:cs="Arial"/>
          <w:b/>
          <w:szCs w:val="26"/>
        </w:rPr>
      </w:pPr>
      <w:r w:rsidRPr="00FE7693">
        <w:rPr>
          <w:rFonts w:ascii="Arial" w:hAnsi="Arial" w:cs="Arial"/>
          <w:b/>
          <w:szCs w:val="26"/>
        </w:rPr>
        <w:t>QUYẾT ĐỊNH</w:t>
      </w:r>
    </w:p>
    <w:p w14:paraId="675A52B0" w14:textId="77777777" w:rsidR="00766084" w:rsidRPr="00FE7693" w:rsidRDefault="004F779C" w:rsidP="00FE7693">
      <w:pPr>
        <w:widowControl w:val="0"/>
        <w:autoSpaceDE w:val="0"/>
        <w:autoSpaceDN w:val="0"/>
        <w:adjustRightInd w:val="0"/>
        <w:spacing w:before="120"/>
        <w:jc w:val="center"/>
        <w:rPr>
          <w:rFonts w:ascii="Arial" w:hAnsi="Arial" w:cs="Arial"/>
          <w:sz w:val="20"/>
          <w:szCs w:val="26"/>
        </w:rPr>
      </w:pPr>
      <w:r w:rsidRPr="00FE7693">
        <w:rPr>
          <w:rFonts w:ascii="Arial" w:hAnsi="Arial" w:cs="Arial"/>
          <w:sz w:val="20"/>
          <w:szCs w:val="26"/>
        </w:rPr>
        <w:t>VỀ VIỆC BAN HÀNH TÀI LIỆU CHUYÊN MÔN “HƯỚNG DẪN CHẨN ĐOÁN VÀ ĐIỀU TRỊ BỆNH BÉO PHÌ”</w:t>
      </w:r>
    </w:p>
    <w:p w14:paraId="0F2314A4" w14:textId="77777777" w:rsidR="00766084" w:rsidRPr="00FE7693" w:rsidRDefault="004F779C" w:rsidP="00FE7693">
      <w:pPr>
        <w:widowControl w:val="0"/>
        <w:autoSpaceDE w:val="0"/>
        <w:autoSpaceDN w:val="0"/>
        <w:adjustRightInd w:val="0"/>
        <w:spacing w:before="120"/>
        <w:jc w:val="center"/>
        <w:rPr>
          <w:rFonts w:ascii="Arial" w:hAnsi="Arial" w:cs="Arial"/>
          <w:b/>
          <w:szCs w:val="26"/>
        </w:rPr>
      </w:pPr>
      <w:r w:rsidRPr="00FE7693">
        <w:rPr>
          <w:rFonts w:ascii="Arial" w:hAnsi="Arial" w:cs="Arial"/>
          <w:b/>
          <w:szCs w:val="26"/>
        </w:rPr>
        <w:t>BỘ TRƯỞNG BỘ Y TẾ</w:t>
      </w:r>
    </w:p>
    <w:p w14:paraId="4FDB7DDE" w14:textId="77777777" w:rsidR="00766084" w:rsidRPr="00FE7693" w:rsidRDefault="00766084" w:rsidP="00FE7693">
      <w:pPr>
        <w:widowControl w:val="0"/>
        <w:autoSpaceDE w:val="0"/>
        <w:autoSpaceDN w:val="0"/>
        <w:adjustRightInd w:val="0"/>
        <w:spacing w:before="120"/>
        <w:rPr>
          <w:rFonts w:ascii="Arial" w:hAnsi="Arial" w:cs="Arial"/>
          <w:i/>
          <w:sz w:val="20"/>
          <w:szCs w:val="26"/>
        </w:rPr>
      </w:pPr>
      <w:r w:rsidRPr="00FE7693">
        <w:rPr>
          <w:rFonts w:ascii="Arial" w:hAnsi="Arial" w:cs="Arial"/>
          <w:i/>
          <w:sz w:val="20"/>
          <w:szCs w:val="26"/>
        </w:rPr>
        <w:t>Căn cứ Luật Khám bệnh, chữa bệnh năm 2009;</w:t>
      </w:r>
    </w:p>
    <w:p w14:paraId="32788085" w14:textId="77777777" w:rsidR="00766084" w:rsidRPr="00FE7693" w:rsidRDefault="00766084" w:rsidP="00FE7693">
      <w:pPr>
        <w:widowControl w:val="0"/>
        <w:autoSpaceDE w:val="0"/>
        <w:autoSpaceDN w:val="0"/>
        <w:adjustRightInd w:val="0"/>
        <w:spacing w:before="120"/>
        <w:rPr>
          <w:rFonts w:ascii="Arial" w:hAnsi="Arial" w:cs="Arial"/>
          <w:i/>
          <w:sz w:val="20"/>
          <w:szCs w:val="26"/>
        </w:rPr>
      </w:pPr>
      <w:r w:rsidRPr="00FE7693">
        <w:rPr>
          <w:rFonts w:ascii="Arial" w:hAnsi="Arial" w:cs="Arial"/>
          <w:i/>
          <w:sz w:val="20"/>
          <w:szCs w:val="26"/>
        </w:rPr>
        <w:t>Căn cứ Nghị định số 75/2017/NĐ-CP ngày 20 tháng 6 năm 2017 của Chính phủ quy định chức năng, nhiệm vụ, quyền hạn và cơ cấu tổ chức của Bộ Y tế;</w:t>
      </w:r>
    </w:p>
    <w:p w14:paraId="53E7441C" w14:textId="77777777" w:rsidR="00766084" w:rsidRPr="00FE7693" w:rsidRDefault="00766084" w:rsidP="00FE7693">
      <w:pPr>
        <w:widowControl w:val="0"/>
        <w:autoSpaceDE w:val="0"/>
        <w:autoSpaceDN w:val="0"/>
        <w:adjustRightInd w:val="0"/>
        <w:spacing w:before="120"/>
        <w:rPr>
          <w:rFonts w:ascii="Arial" w:hAnsi="Arial" w:cs="Arial"/>
          <w:sz w:val="20"/>
          <w:szCs w:val="26"/>
        </w:rPr>
      </w:pPr>
      <w:r w:rsidRPr="00FE7693">
        <w:rPr>
          <w:rFonts w:ascii="Arial" w:hAnsi="Arial" w:cs="Arial"/>
          <w:i/>
          <w:sz w:val="20"/>
          <w:szCs w:val="26"/>
        </w:rPr>
        <w:t>Theo đề nghị của Cục trưởng Cục Quản lý khám, chữa bệnh.</w:t>
      </w:r>
    </w:p>
    <w:p w14:paraId="6A2CBF2F" w14:textId="77777777" w:rsidR="00766084" w:rsidRPr="00FE7693" w:rsidRDefault="004F779C" w:rsidP="00FE7693">
      <w:pPr>
        <w:widowControl w:val="0"/>
        <w:autoSpaceDE w:val="0"/>
        <w:autoSpaceDN w:val="0"/>
        <w:adjustRightInd w:val="0"/>
        <w:spacing w:before="120"/>
        <w:jc w:val="center"/>
        <w:rPr>
          <w:rFonts w:ascii="Arial" w:hAnsi="Arial" w:cs="Arial"/>
          <w:b/>
          <w:szCs w:val="26"/>
        </w:rPr>
      </w:pPr>
      <w:r w:rsidRPr="00FE7693">
        <w:rPr>
          <w:rFonts w:ascii="Arial" w:hAnsi="Arial" w:cs="Arial"/>
          <w:b/>
          <w:szCs w:val="26"/>
        </w:rPr>
        <w:t>QUYẾT ĐỊNH:</w:t>
      </w:r>
    </w:p>
    <w:p w14:paraId="51AF662F" w14:textId="77777777" w:rsidR="00766084" w:rsidRPr="00FE7693" w:rsidRDefault="00766084" w:rsidP="00FE7693">
      <w:pPr>
        <w:widowControl w:val="0"/>
        <w:autoSpaceDE w:val="0"/>
        <w:autoSpaceDN w:val="0"/>
        <w:adjustRightInd w:val="0"/>
        <w:spacing w:before="120"/>
        <w:rPr>
          <w:rFonts w:ascii="Arial" w:hAnsi="Arial" w:cs="Arial"/>
          <w:sz w:val="20"/>
          <w:szCs w:val="26"/>
        </w:rPr>
      </w:pPr>
      <w:r w:rsidRPr="00FE7693">
        <w:rPr>
          <w:rFonts w:ascii="Arial" w:hAnsi="Arial" w:cs="Arial"/>
          <w:b/>
          <w:sz w:val="20"/>
          <w:szCs w:val="26"/>
        </w:rPr>
        <w:t>Điều 1.</w:t>
      </w:r>
      <w:r w:rsidRPr="00FE7693">
        <w:rPr>
          <w:rFonts w:ascii="Arial" w:hAnsi="Arial" w:cs="Arial"/>
          <w:sz w:val="20"/>
          <w:szCs w:val="26"/>
        </w:rPr>
        <w:t xml:space="preserve"> Ban hành kèm theo Quyết định này tài liệu chuyên môn “Hướng dẫn chẩn đoán và điều trị bệnh béo phì”.</w:t>
      </w:r>
    </w:p>
    <w:p w14:paraId="50EFF96E" w14:textId="77777777" w:rsidR="00766084" w:rsidRPr="00FE7693" w:rsidRDefault="00766084" w:rsidP="00FE7693">
      <w:pPr>
        <w:widowControl w:val="0"/>
        <w:autoSpaceDE w:val="0"/>
        <w:autoSpaceDN w:val="0"/>
        <w:adjustRightInd w:val="0"/>
        <w:spacing w:before="120"/>
        <w:rPr>
          <w:rFonts w:ascii="Arial" w:hAnsi="Arial" w:cs="Arial"/>
          <w:sz w:val="20"/>
          <w:szCs w:val="26"/>
        </w:rPr>
      </w:pPr>
      <w:r w:rsidRPr="00FE7693">
        <w:rPr>
          <w:rFonts w:ascii="Arial" w:hAnsi="Arial" w:cs="Arial"/>
          <w:b/>
          <w:sz w:val="20"/>
          <w:szCs w:val="26"/>
        </w:rPr>
        <w:t>Điều 2.</w:t>
      </w:r>
      <w:r w:rsidRPr="00FE7693">
        <w:rPr>
          <w:rFonts w:ascii="Arial" w:hAnsi="Arial" w:cs="Arial"/>
          <w:sz w:val="20"/>
          <w:szCs w:val="26"/>
        </w:rPr>
        <w:t xml:space="preserve"> Tài liệu chuyên môn “Hướng dẫn chẩn đoán và điều trị bệnh béo</w:t>
      </w:r>
      <w:r w:rsidR="004F779C" w:rsidRPr="00FE7693">
        <w:rPr>
          <w:rFonts w:ascii="Arial" w:hAnsi="Arial" w:cs="Arial"/>
          <w:sz w:val="20"/>
          <w:szCs w:val="26"/>
        </w:rPr>
        <w:t xml:space="preserve"> </w:t>
      </w:r>
      <w:r w:rsidRPr="00FE7693">
        <w:rPr>
          <w:rFonts w:ascii="Arial" w:hAnsi="Arial" w:cs="Arial"/>
          <w:sz w:val="20"/>
          <w:szCs w:val="26"/>
        </w:rPr>
        <w:t>phì” được áp dụng tại các cơ sở khám bệnh, chữa bệnh trong cả nước.</w:t>
      </w:r>
    </w:p>
    <w:p w14:paraId="2140E16E" w14:textId="77777777" w:rsidR="00766084" w:rsidRPr="00FE7693" w:rsidRDefault="00766084" w:rsidP="00FE7693">
      <w:pPr>
        <w:widowControl w:val="0"/>
        <w:autoSpaceDE w:val="0"/>
        <w:autoSpaceDN w:val="0"/>
        <w:adjustRightInd w:val="0"/>
        <w:spacing w:before="120"/>
        <w:rPr>
          <w:rFonts w:ascii="Arial" w:hAnsi="Arial" w:cs="Arial"/>
          <w:sz w:val="20"/>
          <w:szCs w:val="26"/>
        </w:rPr>
      </w:pPr>
      <w:r w:rsidRPr="00FE7693">
        <w:rPr>
          <w:rFonts w:ascii="Arial" w:hAnsi="Arial" w:cs="Arial"/>
          <w:b/>
          <w:sz w:val="20"/>
          <w:szCs w:val="26"/>
        </w:rPr>
        <w:t>Điều 3.</w:t>
      </w:r>
      <w:r w:rsidRPr="00FE7693">
        <w:rPr>
          <w:rFonts w:ascii="Arial" w:hAnsi="Arial" w:cs="Arial"/>
          <w:sz w:val="20"/>
          <w:szCs w:val="26"/>
        </w:rPr>
        <w:t xml:space="preserve"> Quyết định này có hiệu lực kể từ ngày ký, ban hành. Bãi bỏ bài “Bệnh béo phì” trong “Hướng dẫn chẩn đoán và điều trị bệnh nội tiết </w:t>
      </w:r>
      <w:r w:rsidR="001F364C" w:rsidRPr="00FE7693">
        <w:rPr>
          <w:rFonts w:ascii="Arial" w:hAnsi="Arial" w:cs="Arial"/>
          <w:sz w:val="20"/>
          <w:szCs w:val="26"/>
        </w:rPr>
        <w:t>-</w:t>
      </w:r>
      <w:r w:rsidRPr="00FE7693">
        <w:rPr>
          <w:rFonts w:ascii="Arial" w:hAnsi="Arial" w:cs="Arial"/>
          <w:sz w:val="20"/>
          <w:szCs w:val="26"/>
        </w:rPr>
        <w:t xml:space="preserve"> chuyển hóa” được ban hành tại Quyết định số 3879/QĐ-BYT ngày 30 tháng 09 năm 2014 của Bộ trưởng Bộ Y tế.</w:t>
      </w:r>
    </w:p>
    <w:p w14:paraId="51150516" w14:textId="77777777" w:rsidR="00766084" w:rsidRPr="00FE7693" w:rsidRDefault="00766084" w:rsidP="00FE7693">
      <w:pPr>
        <w:widowControl w:val="0"/>
        <w:autoSpaceDE w:val="0"/>
        <w:autoSpaceDN w:val="0"/>
        <w:adjustRightInd w:val="0"/>
        <w:spacing w:before="120"/>
        <w:rPr>
          <w:rFonts w:ascii="Arial" w:hAnsi="Arial" w:cs="Arial"/>
          <w:sz w:val="20"/>
          <w:szCs w:val="26"/>
        </w:rPr>
      </w:pPr>
      <w:r w:rsidRPr="00FE7693">
        <w:rPr>
          <w:rFonts w:ascii="Arial" w:hAnsi="Arial" w:cs="Arial"/>
          <w:b/>
          <w:sz w:val="20"/>
          <w:szCs w:val="26"/>
        </w:rPr>
        <w:t>Điều 4.</w:t>
      </w:r>
      <w:r w:rsidRPr="00FE7693">
        <w:rPr>
          <w:rFonts w:ascii="Arial" w:hAnsi="Arial" w:cs="Arial"/>
          <w:sz w:val="20"/>
          <w:szCs w:val="26"/>
        </w:rPr>
        <w:t xml:space="preserve"> Các ông, bà: Chánh Văn phòng Bộ, Chánh thanh tra Bộ, Tổng Cục trưởng, Cục trưởng và Vụ trưởng các Tổng cục, Cục, Vụ thuộc Bộ Y tế, Giám đốc Sở Y tế các tỉnh, thành phố trực thuộc trung ương, Giám đốc các Bệnh viện trực thuộc Bộ Y tế, Thủ trưởng Y tế các ngành chịu trách nhiệm thi hành Quyết định này./.</w:t>
      </w:r>
    </w:p>
    <w:p w14:paraId="2E710BD0" w14:textId="77777777" w:rsidR="004F779C" w:rsidRPr="00FE7693" w:rsidRDefault="004F779C" w:rsidP="00FE7693">
      <w:pPr>
        <w:widowControl w:val="0"/>
        <w:autoSpaceDE w:val="0"/>
        <w:autoSpaceDN w:val="0"/>
        <w:adjustRightInd w:val="0"/>
        <w:spacing w:before="120"/>
        <w:rPr>
          <w:rFonts w:ascii="Arial" w:hAnsi="Arial" w:cs="Arial"/>
          <w:sz w:val="20"/>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15"/>
        <w:gridCol w:w="4325"/>
      </w:tblGrid>
      <w:tr w:rsidR="004F779C" w:rsidRPr="00FE7693" w14:paraId="083F2E8A" w14:textId="77777777">
        <w:tc>
          <w:tcPr>
            <w:tcW w:w="4428" w:type="dxa"/>
          </w:tcPr>
          <w:p w14:paraId="41DEF6D7" w14:textId="77777777" w:rsidR="004F779C" w:rsidRPr="00FE7693" w:rsidRDefault="004F779C" w:rsidP="00FE7693">
            <w:pPr>
              <w:spacing w:before="120"/>
              <w:rPr>
                <w:rFonts w:ascii="Arial" w:hAnsi="Arial" w:cs="Arial"/>
                <w:sz w:val="20"/>
                <w:szCs w:val="20"/>
              </w:rPr>
            </w:pPr>
            <w:r w:rsidRPr="00FE7693">
              <w:rPr>
                <w:rFonts w:ascii="Arial" w:hAnsi="Arial" w:cs="Arial"/>
                <w:b/>
                <w:i/>
                <w:sz w:val="20"/>
                <w:szCs w:val="20"/>
              </w:rPr>
              <w:br/>
              <w:t>Nơi nhận:</w:t>
            </w:r>
            <w:r w:rsidRPr="00FE7693">
              <w:rPr>
                <w:rFonts w:ascii="Arial" w:hAnsi="Arial" w:cs="Arial"/>
                <w:b/>
                <w:i/>
                <w:sz w:val="20"/>
                <w:szCs w:val="20"/>
              </w:rPr>
              <w:br/>
            </w:r>
            <w:r w:rsidRPr="00FE7693">
              <w:rPr>
                <w:rFonts w:ascii="Arial" w:hAnsi="Arial" w:cs="Arial"/>
                <w:sz w:val="16"/>
                <w:szCs w:val="16"/>
              </w:rPr>
              <w:t xml:space="preserve">- </w:t>
            </w:r>
            <w:r w:rsidR="003C26B0" w:rsidRPr="00FE7693">
              <w:rPr>
                <w:rFonts w:ascii="Arial" w:hAnsi="Arial" w:cs="Arial"/>
                <w:sz w:val="16"/>
                <w:szCs w:val="20"/>
              </w:rPr>
              <w:t>Như Điều 4;</w:t>
            </w:r>
            <w:r w:rsidR="003C26B0" w:rsidRPr="00FE7693">
              <w:rPr>
                <w:rFonts w:ascii="Arial" w:hAnsi="Arial" w:cs="Arial"/>
                <w:sz w:val="16"/>
                <w:szCs w:val="20"/>
              </w:rPr>
              <w:br/>
              <w:t>- Q. Bộ trưởng (để b/c);</w:t>
            </w:r>
            <w:r w:rsidR="003C26B0" w:rsidRPr="00FE7693">
              <w:rPr>
                <w:rFonts w:ascii="Arial" w:hAnsi="Arial" w:cs="Arial"/>
                <w:sz w:val="16"/>
                <w:szCs w:val="20"/>
              </w:rPr>
              <w:br/>
              <w:t>- Các Thứ trưởng;</w:t>
            </w:r>
            <w:r w:rsidR="003C26B0" w:rsidRPr="00FE7693">
              <w:rPr>
                <w:rFonts w:ascii="Arial" w:hAnsi="Arial" w:cs="Arial"/>
                <w:sz w:val="16"/>
                <w:szCs w:val="20"/>
              </w:rPr>
              <w:br/>
              <w:t>- Cổng thông tin điện tử Bộ Y tế; Website Cục K</w:t>
            </w:r>
            <w:r w:rsidR="003C26B0" w:rsidRPr="00FE7693">
              <w:rPr>
                <w:rFonts w:ascii="Arial" w:hAnsi="Arial" w:cs="Arial"/>
                <w:sz w:val="16"/>
                <w:szCs w:val="20"/>
              </w:rPr>
              <w:br/>
              <w:t>- Lưu: VT, KCB.</w:t>
            </w:r>
          </w:p>
        </w:tc>
        <w:tc>
          <w:tcPr>
            <w:tcW w:w="4428" w:type="dxa"/>
          </w:tcPr>
          <w:p w14:paraId="21B06C80" w14:textId="77777777" w:rsidR="004F779C" w:rsidRPr="00FE7693" w:rsidRDefault="003C26B0" w:rsidP="00FE7693">
            <w:pPr>
              <w:spacing w:before="120"/>
              <w:jc w:val="center"/>
              <w:rPr>
                <w:rFonts w:ascii="Arial" w:hAnsi="Arial" w:cs="Arial"/>
                <w:b/>
                <w:sz w:val="20"/>
                <w:szCs w:val="20"/>
              </w:rPr>
            </w:pPr>
            <w:r w:rsidRPr="00FE7693">
              <w:rPr>
                <w:rFonts w:ascii="Arial" w:hAnsi="Arial" w:cs="Arial"/>
                <w:b/>
                <w:sz w:val="20"/>
                <w:szCs w:val="20"/>
              </w:rPr>
              <w:t xml:space="preserve">KT. BỘ TRƯỞNG </w:t>
            </w:r>
            <w:r w:rsidRPr="00FE7693">
              <w:rPr>
                <w:rFonts w:ascii="Arial" w:hAnsi="Arial" w:cs="Arial"/>
                <w:b/>
                <w:sz w:val="20"/>
                <w:szCs w:val="20"/>
              </w:rPr>
              <w:br/>
              <w:t>THỨ TRƯỞNG</w:t>
            </w:r>
            <w:r w:rsidRPr="00FE7693">
              <w:rPr>
                <w:rFonts w:ascii="Arial" w:hAnsi="Arial" w:cs="Arial"/>
                <w:b/>
                <w:sz w:val="20"/>
                <w:szCs w:val="20"/>
              </w:rPr>
              <w:br/>
            </w:r>
            <w:r w:rsidRPr="00FE7693">
              <w:rPr>
                <w:rFonts w:ascii="Arial" w:hAnsi="Arial" w:cs="Arial"/>
                <w:b/>
                <w:sz w:val="20"/>
                <w:szCs w:val="20"/>
              </w:rPr>
              <w:br/>
            </w:r>
            <w:r w:rsidRPr="00FE7693">
              <w:rPr>
                <w:rFonts w:ascii="Arial" w:hAnsi="Arial" w:cs="Arial"/>
                <w:b/>
                <w:sz w:val="20"/>
                <w:szCs w:val="20"/>
              </w:rPr>
              <w:br/>
            </w:r>
            <w:r w:rsidRPr="00FE7693">
              <w:rPr>
                <w:rFonts w:ascii="Arial" w:hAnsi="Arial" w:cs="Arial"/>
                <w:b/>
                <w:sz w:val="20"/>
                <w:szCs w:val="20"/>
              </w:rPr>
              <w:br/>
            </w:r>
            <w:r w:rsidRPr="00FE7693">
              <w:rPr>
                <w:rFonts w:ascii="Arial" w:hAnsi="Arial" w:cs="Arial"/>
                <w:b/>
                <w:sz w:val="20"/>
                <w:szCs w:val="20"/>
              </w:rPr>
              <w:br/>
              <w:t>Nguyễn Trường Sơn</w:t>
            </w:r>
          </w:p>
        </w:tc>
      </w:tr>
    </w:tbl>
    <w:p w14:paraId="7AE914E8" w14:textId="77777777" w:rsidR="00766084" w:rsidRPr="00FE7693" w:rsidRDefault="00766084" w:rsidP="00FE7693">
      <w:pPr>
        <w:widowControl w:val="0"/>
        <w:autoSpaceDE w:val="0"/>
        <w:autoSpaceDN w:val="0"/>
        <w:adjustRightInd w:val="0"/>
        <w:spacing w:before="120"/>
        <w:rPr>
          <w:rFonts w:ascii="Arial" w:hAnsi="Arial" w:cs="Arial"/>
          <w:sz w:val="20"/>
          <w:szCs w:val="26"/>
        </w:rPr>
      </w:pPr>
    </w:p>
    <w:p w14:paraId="5AD41200" w14:textId="77777777" w:rsidR="0028508D" w:rsidRDefault="001F5835" w:rsidP="00FE7693">
      <w:pPr>
        <w:widowControl w:val="0"/>
        <w:autoSpaceDE w:val="0"/>
        <w:autoSpaceDN w:val="0"/>
        <w:adjustRightInd w:val="0"/>
        <w:spacing w:before="120"/>
        <w:jc w:val="center"/>
        <w:rPr>
          <w:rFonts w:ascii="Arial" w:hAnsi="Arial" w:cs="Arial"/>
          <w:b/>
          <w:szCs w:val="45"/>
        </w:rPr>
      </w:pPr>
      <w:r w:rsidRPr="00FE7693">
        <w:rPr>
          <w:rFonts w:ascii="Arial" w:hAnsi="Arial" w:cs="Arial"/>
          <w:b/>
          <w:szCs w:val="45"/>
        </w:rPr>
        <w:t xml:space="preserve">HƯỚNG DẪN </w:t>
      </w:r>
    </w:p>
    <w:p w14:paraId="14C35E72" w14:textId="77777777" w:rsidR="00766084" w:rsidRPr="00FE7693" w:rsidRDefault="0028508D" w:rsidP="00FE7693">
      <w:pPr>
        <w:widowControl w:val="0"/>
        <w:autoSpaceDE w:val="0"/>
        <w:autoSpaceDN w:val="0"/>
        <w:adjustRightInd w:val="0"/>
        <w:spacing w:before="120"/>
        <w:jc w:val="center"/>
        <w:rPr>
          <w:rFonts w:ascii="Arial" w:hAnsi="Arial" w:cs="Arial"/>
          <w:i/>
          <w:color w:val="161111"/>
          <w:sz w:val="20"/>
          <w:szCs w:val="26"/>
        </w:rPr>
      </w:pPr>
      <w:r w:rsidRPr="0028508D">
        <w:rPr>
          <w:rFonts w:ascii="Arial" w:hAnsi="Arial" w:cs="Arial"/>
          <w:sz w:val="20"/>
          <w:szCs w:val="45"/>
        </w:rPr>
        <w:t>CHẨN ĐOÁN VÀ ĐIỀU TRỊ BỆNH BÉO PHÌ</w:t>
      </w:r>
      <w:r>
        <w:rPr>
          <w:rFonts w:ascii="Arial" w:hAnsi="Arial" w:cs="Arial"/>
          <w:sz w:val="20"/>
          <w:szCs w:val="45"/>
        </w:rPr>
        <w:br/>
      </w:r>
      <w:r w:rsidR="00766084" w:rsidRPr="00FE7693">
        <w:rPr>
          <w:rFonts w:ascii="Arial" w:hAnsi="Arial" w:cs="Arial"/>
          <w:i/>
          <w:color w:val="161111"/>
          <w:sz w:val="20"/>
          <w:szCs w:val="26"/>
        </w:rPr>
        <w:t xml:space="preserve">(Ban hành kèm theo Quyết định số </w:t>
      </w:r>
      <w:r w:rsidR="00766084" w:rsidRPr="00FE7693">
        <w:rPr>
          <w:rFonts w:ascii="Arial" w:hAnsi="Arial" w:cs="Arial"/>
          <w:i/>
          <w:color w:val="000000"/>
          <w:sz w:val="20"/>
        </w:rPr>
        <w:t>2892</w:t>
      </w:r>
      <w:r w:rsidR="00766084" w:rsidRPr="00FE7693">
        <w:rPr>
          <w:rFonts w:ascii="Arial" w:hAnsi="Arial" w:cs="Arial"/>
          <w:i/>
          <w:color w:val="161111"/>
          <w:sz w:val="20"/>
          <w:szCs w:val="26"/>
        </w:rPr>
        <w:t>/QĐ-BYT</w:t>
      </w:r>
      <w:r w:rsidR="001F5835" w:rsidRPr="00FE7693">
        <w:rPr>
          <w:rFonts w:ascii="Arial" w:hAnsi="Arial" w:cs="Arial"/>
          <w:i/>
          <w:color w:val="000000"/>
          <w:sz w:val="20"/>
          <w:szCs w:val="26"/>
        </w:rPr>
        <w:t xml:space="preserve"> </w:t>
      </w:r>
      <w:r w:rsidR="00766084" w:rsidRPr="00FE7693">
        <w:rPr>
          <w:rFonts w:ascii="Arial" w:hAnsi="Arial" w:cs="Arial"/>
          <w:i/>
          <w:color w:val="161111"/>
          <w:sz w:val="20"/>
          <w:szCs w:val="26"/>
        </w:rPr>
        <w:t>ngày</w:t>
      </w:r>
      <w:r w:rsidR="001F364C" w:rsidRPr="00FE7693">
        <w:rPr>
          <w:rFonts w:ascii="Arial" w:hAnsi="Arial" w:cs="Arial"/>
          <w:i/>
          <w:color w:val="161111"/>
          <w:sz w:val="20"/>
          <w:szCs w:val="26"/>
        </w:rPr>
        <w:t xml:space="preserve"> </w:t>
      </w:r>
      <w:r w:rsidR="001F5835" w:rsidRPr="00FE7693">
        <w:rPr>
          <w:rFonts w:ascii="Arial" w:hAnsi="Arial" w:cs="Arial"/>
          <w:i/>
          <w:color w:val="161111"/>
          <w:sz w:val="20"/>
          <w:szCs w:val="26"/>
        </w:rPr>
        <w:t xml:space="preserve">22 </w:t>
      </w:r>
      <w:r w:rsidR="00766084" w:rsidRPr="00FE7693">
        <w:rPr>
          <w:rFonts w:ascii="Arial" w:hAnsi="Arial" w:cs="Arial"/>
          <w:i/>
          <w:color w:val="161111"/>
          <w:sz w:val="20"/>
          <w:szCs w:val="26"/>
        </w:rPr>
        <w:t>tháng</w:t>
      </w:r>
      <w:r w:rsidR="001F364C" w:rsidRPr="00FE7693">
        <w:rPr>
          <w:rFonts w:ascii="Arial" w:hAnsi="Arial" w:cs="Arial"/>
          <w:i/>
          <w:color w:val="161111"/>
          <w:sz w:val="20"/>
          <w:szCs w:val="26"/>
        </w:rPr>
        <w:t xml:space="preserve"> </w:t>
      </w:r>
      <w:r w:rsidR="001F5835" w:rsidRPr="00FE7693">
        <w:rPr>
          <w:rFonts w:ascii="Arial" w:hAnsi="Arial" w:cs="Arial"/>
          <w:i/>
          <w:color w:val="161111"/>
          <w:sz w:val="20"/>
          <w:szCs w:val="26"/>
        </w:rPr>
        <w:t xml:space="preserve">10 </w:t>
      </w:r>
      <w:r w:rsidR="00766084" w:rsidRPr="00FE7693">
        <w:rPr>
          <w:rFonts w:ascii="Arial" w:hAnsi="Arial" w:cs="Arial"/>
          <w:i/>
          <w:color w:val="161111"/>
          <w:sz w:val="20"/>
          <w:szCs w:val="26"/>
        </w:rPr>
        <w:t>năm 2022 của Bộ trưởng Bộ Y tế)</w:t>
      </w:r>
    </w:p>
    <w:p w14:paraId="260B0A17" w14:textId="77777777" w:rsidR="001F5835" w:rsidRPr="00FE7693" w:rsidRDefault="001F5835"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 xml:space="preserve">CHỈ ĐẠO BIÊN SOẠN </w:t>
      </w:r>
    </w:p>
    <w:p w14:paraId="108EE38F" w14:textId="77777777" w:rsidR="001F5835"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PGS.TS. Nguyễn Trường Sơn </w:t>
      </w:r>
    </w:p>
    <w:p w14:paraId="54BC9833" w14:textId="77777777" w:rsidR="00766084" w:rsidRPr="00FE7693" w:rsidRDefault="001F5835"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CHỦ BIÊN</w:t>
      </w:r>
    </w:p>
    <w:p w14:paraId="6227BFA8"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PGS.TS. Lương Ngọc Khuê</w:t>
      </w:r>
    </w:p>
    <w:p w14:paraId="29F075C9"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GS.TS. Trần Hữu Dàng</w:t>
      </w:r>
    </w:p>
    <w:p w14:paraId="08E36D20" w14:textId="77777777" w:rsidR="00766084" w:rsidRPr="00FE7693" w:rsidRDefault="001F5835"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lastRenderedPageBreak/>
        <w:t>THAM GIA BIÊN SOẠN VÀ THẨM ĐỊNH</w:t>
      </w:r>
    </w:p>
    <w:p w14:paraId="17DE1495"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TS. Nguyễn Quang Bảy</w:t>
      </w:r>
    </w:p>
    <w:p w14:paraId="3DC85532"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TS. Lê Văn Chi</w:t>
      </w:r>
    </w:p>
    <w:p w14:paraId="49793A6D" w14:textId="77777777" w:rsidR="001F5835"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TS. Phan Hướng Dương </w:t>
      </w:r>
    </w:p>
    <w:p w14:paraId="4AC34A94" w14:textId="77777777" w:rsidR="001F5835"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PGS.TS. Nguyễn Thị Bích Đào </w:t>
      </w:r>
    </w:p>
    <w:p w14:paraId="4110E795"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TS. Lâm Văn Hoàng</w:t>
      </w:r>
    </w:p>
    <w:p w14:paraId="40911479" w14:textId="77777777" w:rsidR="001F5835"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TS. Nguyễn Trọng Khoa </w:t>
      </w:r>
    </w:p>
    <w:p w14:paraId="18CB3B87" w14:textId="77777777" w:rsidR="001F5835"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TS. Nguyễn Công Long </w:t>
      </w:r>
    </w:p>
    <w:p w14:paraId="47B76E27" w14:textId="77777777" w:rsidR="001F5835"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TS. Trần Thừa Nguyên </w:t>
      </w:r>
    </w:p>
    <w:p w14:paraId="6309AC47" w14:textId="77777777" w:rsidR="001F5835"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TS. Bùi Thanh Phúc PGS.</w:t>
      </w:r>
    </w:p>
    <w:p w14:paraId="0522FF08" w14:textId="77777777" w:rsidR="001F5835"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TS. Đỗ Trung Quân GS.</w:t>
      </w:r>
    </w:p>
    <w:p w14:paraId="2A9E8437"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TS. Thái Hồng Quang</w:t>
      </w:r>
    </w:p>
    <w:p w14:paraId="1E42EF33" w14:textId="77777777" w:rsidR="00B54572"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PGS.TS. Hồ Thị Kim Thanh </w:t>
      </w:r>
    </w:p>
    <w:p w14:paraId="08DF3A5E" w14:textId="77777777" w:rsidR="00B54572"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TS. Nghiêm Nguyệt Thu </w:t>
      </w:r>
    </w:p>
    <w:p w14:paraId="76CEDC85"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GS.TS. Nguyễn Hải Thủy</w:t>
      </w:r>
    </w:p>
    <w:p w14:paraId="78EED93E"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PGS.TS. Nguyễn Khoa Diệu Vân</w:t>
      </w:r>
    </w:p>
    <w:p w14:paraId="7E111455" w14:textId="77777777" w:rsidR="00766084" w:rsidRPr="00FE7693" w:rsidRDefault="00766084"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Thư ký</w:t>
      </w:r>
    </w:p>
    <w:p w14:paraId="704607F9" w14:textId="77777777" w:rsidR="00B54572"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TS. Trần Thừa Nguyên </w:t>
      </w:r>
    </w:p>
    <w:p w14:paraId="49ACC87A" w14:textId="77777777" w:rsidR="00B54572"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ThS. Trương Lê Vân Ngọc </w:t>
      </w:r>
    </w:p>
    <w:p w14:paraId="0493D541"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CN. Đỗ Thị Thư</w:t>
      </w:r>
    </w:p>
    <w:p w14:paraId="3668C56D" w14:textId="77777777" w:rsidR="0028508D" w:rsidRDefault="0028508D" w:rsidP="00FE7693">
      <w:pPr>
        <w:widowControl w:val="0"/>
        <w:autoSpaceDE w:val="0"/>
        <w:autoSpaceDN w:val="0"/>
        <w:adjustRightInd w:val="0"/>
        <w:spacing w:before="120"/>
        <w:jc w:val="center"/>
        <w:rPr>
          <w:rFonts w:ascii="Arial" w:hAnsi="Arial" w:cs="Arial"/>
          <w:b/>
          <w:color w:val="000000"/>
          <w:sz w:val="20"/>
        </w:rPr>
      </w:pPr>
    </w:p>
    <w:p w14:paraId="6C6AC3E2" w14:textId="77777777" w:rsidR="00766084" w:rsidRPr="00FE7693" w:rsidRDefault="00B54572" w:rsidP="00FE7693">
      <w:pPr>
        <w:widowControl w:val="0"/>
        <w:autoSpaceDE w:val="0"/>
        <w:autoSpaceDN w:val="0"/>
        <w:adjustRightInd w:val="0"/>
        <w:spacing w:before="120"/>
        <w:jc w:val="center"/>
        <w:rPr>
          <w:rFonts w:ascii="Arial" w:hAnsi="Arial" w:cs="Arial"/>
          <w:b/>
          <w:color w:val="000000"/>
          <w:sz w:val="20"/>
        </w:rPr>
      </w:pPr>
      <w:r w:rsidRPr="00FE7693">
        <w:rPr>
          <w:rFonts w:ascii="Arial" w:hAnsi="Arial" w:cs="Arial"/>
          <w:b/>
          <w:color w:val="000000"/>
          <w:sz w:val="20"/>
        </w:rPr>
        <w:t>MỤC LỤC</w:t>
      </w:r>
    </w:p>
    <w:p w14:paraId="56E99469"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1.</w:t>
      </w:r>
      <w:r w:rsidR="001F364C" w:rsidRPr="00FE7693">
        <w:rPr>
          <w:rFonts w:ascii="Arial" w:hAnsi="Arial" w:cs="Arial"/>
          <w:color w:val="000000"/>
          <w:sz w:val="20"/>
        </w:rPr>
        <w:t xml:space="preserve"> </w:t>
      </w:r>
      <w:r w:rsidRPr="00FE7693">
        <w:rPr>
          <w:rFonts w:ascii="Arial" w:hAnsi="Arial" w:cs="Arial"/>
          <w:color w:val="000000"/>
          <w:sz w:val="20"/>
        </w:rPr>
        <w:t xml:space="preserve">ĐẠI CƯƠNG </w:t>
      </w:r>
    </w:p>
    <w:p w14:paraId="59EF5BC8"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2.</w:t>
      </w:r>
      <w:r w:rsidR="001F364C" w:rsidRPr="00FE7693">
        <w:rPr>
          <w:rFonts w:ascii="Arial" w:hAnsi="Arial" w:cs="Arial"/>
          <w:color w:val="000000"/>
          <w:sz w:val="20"/>
        </w:rPr>
        <w:t xml:space="preserve"> </w:t>
      </w:r>
      <w:r w:rsidRPr="00FE7693">
        <w:rPr>
          <w:rFonts w:ascii="Arial" w:hAnsi="Arial" w:cs="Arial"/>
          <w:color w:val="000000"/>
          <w:sz w:val="20"/>
        </w:rPr>
        <w:t xml:space="preserve">NGUYÊN NHÂN SINH BỆNH BÉO PHÌ </w:t>
      </w:r>
    </w:p>
    <w:p w14:paraId="4EA0E71D"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2.1.</w:t>
      </w:r>
      <w:r w:rsidR="001F364C" w:rsidRPr="00FE7693">
        <w:rPr>
          <w:rFonts w:ascii="Arial" w:hAnsi="Arial" w:cs="Arial"/>
          <w:color w:val="000000"/>
          <w:sz w:val="20"/>
        </w:rPr>
        <w:t xml:space="preserve"> </w:t>
      </w:r>
      <w:r w:rsidRPr="00FE7693">
        <w:rPr>
          <w:rFonts w:ascii="Arial" w:hAnsi="Arial" w:cs="Arial"/>
          <w:color w:val="000000"/>
          <w:sz w:val="20"/>
        </w:rPr>
        <w:t>Nguyên nhân về dinh dưỡng</w:t>
      </w:r>
    </w:p>
    <w:p w14:paraId="0DCF2D1D"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2.2.</w:t>
      </w:r>
      <w:r w:rsidR="001F364C" w:rsidRPr="00FE7693">
        <w:rPr>
          <w:rFonts w:ascii="Arial" w:hAnsi="Arial" w:cs="Arial"/>
          <w:color w:val="000000"/>
          <w:sz w:val="20"/>
        </w:rPr>
        <w:t xml:space="preserve"> </w:t>
      </w:r>
      <w:r w:rsidRPr="00FE7693">
        <w:rPr>
          <w:rFonts w:ascii="Arial" w:hAnsi="Arial" w:cs="Arial"/>
          <w:color w:val="000000"/>
          <w:sz w:val="20"/>
        </w:rPr>
        <w:t>Nguyên nhân di truyền</w:t>
      </w:r>
    </w:p>
    <w:p w14:paraId="60026263"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2.3.</w:t>
      </w:r>
      <w:r w:rsidR="001F364C" w:rsidRPr="00FE7693">
        <w:rPr>
          <w:rFonts w:ascii="Arial" w:hAnsi="Arial" w:cs="Arial"/>
          <w:color w:val="000000"/>
          <w:sz w:val="20"/>
        </w:rPr>
        <w:t xml:space="preserve"> </w:t>
      </w:r>
      <w:r w:rsidRPr="00FE7693">
        <w:rPr>
          <w:rFonts w:ascii="Arial" w:hAnsi="Arial" w:cs="Arial"/>
          <w:color w:val="000000"/>
          <w:sz w:val="20"/>
        </w:rPr>
        <w:t xml:space="preserve">Nguyên nhân nội tiết </w:t>
      </w:r>
    </w:p>
    <w:p w14:paraId="56855A49"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2.4.</w:t>
      </w:r>
      <w:r w:rsidR="001F364C" w:rsidRPr="00FE7693">
        <w:rPr>
          <w:rFonts w:ascii="Arial" w:hAnsi="Arial" w:cs="Arial"/>
          <w:color w:val="000000"/>
          <w:sz w:val="20"/>
        </w:rPr>
        <w:t xml:space="preserve"> </w:t>
      </w:r>
      <w:r w:rsidRPr="00FE7693">
        <w:rPr>
          <w:rFonts w:ascii="Arial" w:hAnsi="Arial" w:cs="Arial"/>
          <w:color w:val="000000"/>
          <w:sz w:val="20"/>
        </w:rPr>
        <w:t xml:space="preserve">Nguyên nhân mô bệnh học </w:t>
      </w:r>
    </w:p>
    <w:p w14:paraId="54E5990E"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2.5.</w:t>
      </w:r>
      <w:r w:rsidR="001F364C" w:rsidRPr="00FE7693">
        <w:rPr>
          <w:rFonts w:ascii="Arial" w:hAnsi="Arial" w:cs="Arial"/>
          <w:color w:val="000000"/>
          <w:sz w:val="20"/>
        </w:rPr>
        <w:t xml:space="preserve"> </w:t>
      </w:r>
      <w:r w:rsidRPr="00FE7693">
        <w:rPr>
          <w:rFonts w:ascii="Arial" w:hAnsi="Arial" w:cs="Arial"/>
          <w:color w:val="000000"/>
          <w:sz w:val="20"/>
        </w:rPr>
        <w:t xml:space="preserve">Nguyên nhân do sử dụng thuốc </w:t>
      </w:r>
    </w:p>
    <w:p w14:paraId="072D9591"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2.6.</w:t>
      </w:r>
      <w:r w:rsidR="001F364C" w:rsidRPr="00FE7693">
        <w:rPr>
          <w:rFonts w:ascii="Arial" w:hAnsi="Arial" w:cs="Arial"/>
          <w:color w:val="000000"/>
          <w:sz w:val="20"/>
        </w:rPr>
        <w:t xml:space="preserve"> </w:t>
      </w:r>
      <w:r w:rsidRPr="00FE7693">
        <w:rPr>
          <w:rFonts w:ascii="Arial" w:hAnsi="Arial" w:cs="Arial"/>
          <w:color w:val="000000"/>
          <w:sz w:val="20"/>
        </w:rPr>
        <w:t xml:space="preserve">Nguyên nhân khác </w:t>
      </w:r>
    </w:p>
    <w:p w14:paraId="7ACF893B"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3.</w:t>
      </w:r>
      <w:r w:rsidR="001F364C" w:rsidRPr="00FE7693">
        <w:rPr>
          <w:rFonts w:ascii="Arial" w:hAnsi="Arial" w:cs="Arial"/>
          <w:color w:val="000000"/>
          <w:sz w:val="20"/>
        </w:rPr>
        <w:t xml:space="preserve"> </w:t>
      </w:r>
      <w:r w:rsidRPr="00FE7693">
        <w:rPr>
          <w:rFonts w:ascii="Arial" w:hAnsi="Arial" w:cs="Arial"/>
          <w:color w:val="000000"/>
          <w:sz w:val="20"/>
        </w:rPr>
        <w:t>SINH LÝ BỆNH BÉO PHÌ</w:t>
      </w:r>
    </w:p>
    <w:p w14:paraId="06D0870F"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4.</w:t>
      </w:r>
      <w:r w:rsidR="001F364C" w:rsidRPr="00FE7693">
        <w:rPr>
          <w:rFonts w:ascii="Arial" w:hAnsi="Arial" w:cs="Arial"/>
          <w:color w:val="000000"/>
          <w:sz w:val="20"/>
        </w:rPr>
        <w:t xml:space="preserve"> </w:t>
      </w:r>
      <w:r w:rsidRPr="00FE7693">
        <w:rPr>
          <w:rFonts w:ascii="Arial" w:hAnsi="Arial" w:cs="Arial"/>
          <w:color w:val="000000"/>
          <w:sz w:val="20"/>
        </w:rPr>
        <w:t>CHẨN ĐOÁN</w:t>
      </w:r>
    </w:p>
    <w:p w14:paraId="08DA1036"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4.1.</w:t>
      </w:r>
      <w:r w:rsidR="001F364C" w:rsidRPr="00FE7693">
        <w:rPr>
          <w:rFonts w:ascii="Arial" w:hAnsi="Arial" w:cs="Arial"/>
          <w:color w:val="000000"/>
          <w:sz w:val="20"/>
        </w:rPr>
        <w:t xml:space="preserve"> </w:t>
      </w:r>
      <w:r w:rsidRPr="00FE7693">
        <w:rPr>
          <w:rFonts w:ascii="Arial" w:hAnsi="Arial" w:cs="Arial"/>
          <w:color w:val="000000"/>
          <w:sz w:val="20"/>
        </w:rPr>
        <w:t xml:space="preserve">Chỉ số khối cơ thể (BMI- Body mass index) </w:t>
      </w:r>
    </w:p>
    <w:p w14:paraId="30AC9F37"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4.2.</w:t>
      </w:r>
      <w:r w:rsidR="001F364C" w:rsidRPr="00FE7693">
        <w:rPr>
          <w:rFonts w:ascii="Arial" w:hAnsi="Arial" w:cs="Arial"/>
          <w:color w:val="000000"/>
          <w:sz w:val="20"/>
        </w:rPr>
        <w:t xml:space="preserve"> </w:t>
      </w:r>
      <w:r w:rsidRPr="00FE7693">
        <w:rPr>
          <w:rFonts w:ascii="Arial" w:hAnsi="Arial" w:cs="Arial"/>
          <w:color w:val="000000"/>
          <w:sz w:val="20"/>
        </w:rPr>
        <w:t>Vòng bụng</w:t>
      </w:r>
    </w:p>
    <w:p w14:paraId="6964D247"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4.3.</w:t>
      </w:r>
      <w:r w:rsidR="001F364C" w:rsidRPr="00FE7693">
        <w:rPr>
          <w:rFonts w:ascii="Arial" w:hAnsi="Arial" w:cs="Arial"/>
          <w:color w:val="000000"/>
          <w:sz w:val="20"/>
        </w:rPr>
        <w:t xml:space="preserve"> </w:t>
      </w:r>
      <w:r w:rsidRPr="00FE7693">
        <w:rPr>
          <w:rFonts w:ascii="Arial" w:hAnsi="Arial" w:cs="Arial"/>
          <w:color w:val="000000"/>
          <w:sz w:val="20"/>
        </w:rPr>
        <w:t xml:space="preserve">Phương pháp DEXA hấp thụ năng lượng kép </w:t>
      </w:r>
    </w:p>
    <w:p w14:paraId="5BE3CAB4"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5.</w:t>
      </w:r>
      <w:r w:rsidR="001F364C" w:rsidRPr="00FE7693">
        <w:rPr>
          <w:rFonts w:ascii="Arial" w:hAnsi="Arial" w:cs="Arial"/>
          <w:color w:val="000000"/>
          <w:sz w:val="20"/>
        </w:rPr>
        <w:t xml:space="preserve"> </w:t>
      </w:r>
      <w:r w:rsidRPr="00FE7693">
        <w:rPr>
          <w:rFonts w:ascii="Arial" w:hAnsi="Arial" w:cs="Arial"/>
          <w:color w:val="000000"/>
          <w:sz w:val="20"/>
        </w:rPr>
        <w:t xml:space="preserve">CÁC DẠNG BÉO PHÌ </w:t>
      </w:r>
    </w:p>
    <w:p w14:paraId="4CE43E38"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5.1.</w:t>
      </w:r>
      <w:r w:rsidR="001F364C" w:rsidRPr="00FE7693">
        <w:rPr>
          <w:rFonts w:ascii="Arial" w:hAnsi="Arial" w:cs="Arial"/>
          <w:color w:val="000000"/>
          <w:sz w:val="20"/>
        </w:rPr>
        <w:t xml:space="preserve"> </w:t>
      </w:r>
      <w:r w:rsidRPr="00FE7693">
        <w:rPr>
          <w:rFonts w:ascii="Arial" w:hAnsi="Arial" w:cs="Arial"/>
          <w:color w:val="000000"/>
          <w:sz w:val="20"/>
        </w:rPr>
        <w:t xml:space="preserve">Béo phì dạng nam (béo phì phần trên cơ thể, béo phì kiểu bụng, béo phì hình quả táo, béo phì trung tâm) </w:t>
      </w:r>
    </w:p>
    <w:p w14:paraId="6B33DA96"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5.2.</w:t>
      </w:r>
      <w:r w:rsidR="001F364C" w:rsidRPr="00FE7693">
        <w:rPr>
          <w:rFonts w:ascii="Arial" w:hAnsi="Arial" w:cs="Arial"/>
          <w:color w:val="000000"/>
          <w:sz w:val="20"/>
        </w:rPr>
        <w:t xml:space="preserve"> </w:t>
      </w:r>
      <w:r w:rsidRPr="00FE7693">
        <w:rPr>
          <w:rFonts w:ascii="Arial" w:hAnsi="Arial" w:cs="Arial"/>
          <w:color w:val="000000"/>
          <w:sz w:val="20"/>
        </w:rPr>
        <w:t xml:space="preserve">Béo phì dạng nữ (béo phì phần dưới cơ thể, béo phì hình quả lê) </w:t>
      </w:r>
    </w:p>
    <w:p w14:paraId="3F558A14"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5.3.</w:t>
      </w:r>
      <w:r w:rsidR="001F364C" w:rsidRPr="00FE7693">
        <w:rPr>
          <w:rFonts w:ascii="Arial" w:hAnsi="Arial" w:cs="Arial"/>
          <w:color w:val="000000"/>
          <w:sz w:val="20"/>
        </w:rPr>
        <w:t xml:space="preserve"> </w:t>
      </w:r>
      <w:r w:rsidRPr="00FE7693">
        <w:rPr>
          <w:rFonts w:ascii="Arial" w:hAnsi="Arial" w:cs="Arial"/>
          <w:color w:val="000000"/>
          <w:sz w:val="20"/>
        </w:rPr>
        <w:t>Béo phì hỗn hợp</w:t>
      </w:r>
    </w:p>
    <w:p w14:paraId="4F9EF629"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6.</w:t>
      </w:r>
      <w:r w:rsidR="001F364C" w:rsidRPr="00FE7693">
        <w:rPr>
          <w:rFonts w:ascii="Arial" w:hAnsi="Arial" w:cs="Arial"/>
          <w:color w:val="000000"/>
          <w:sz w:val="20"/>
        </w:rPr>
        <w:t xml:space="preserve"> </w:t>
      </w:r>
      <w:r w:rsidRPr="00FE7693">
        <w:rPr>
          <w:rFonts w:ascii="Arial" w:hAnsi="Arial" w:cs="Arial"/>
          <w:color w:val="000000"/>
          <w:sz w:val="20"/>
        </w:rPr>
        <w:t xml:space="preserve">ĐIỀU TRỊ BÉO PHÌ </w:t>
      </w:r>
    </w:p>
    <w:p w14:paraId="20565505"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6.1.</w:t>
      </w:r>
      <w:r w:rsidR="001F364C" w:rsidRPr="00FE7693">
        <w:rPr>
          <w:rFonts w:ascii="Arial" w:hAnsi="Arial" w:cs="Arial"/>
          <w:color w:val="000000"/>
          <w:sz w:val="20"/>
        </w:rPr>
        <w:t xml:space="preserve"> </w:t>
      </w:r>
      <w:r w:rsidRPr="00FE7693">
        <w:rPr>
          <w:rFonts w:ascii="Arial" w:hAnsi="Arial" w:cs="Arial"/>
          <w:color w:val="000000"/>
          <w:sz w:val="20"/>
        </w:rPr>
        <w:t xml:space="preserve">Mục tiêu và nguyên tắc chung </w:t>
      </w:r>
    </w:p>
    <w:p w14:paraId="2B08574A" w14:textId="77777777" w:rsidR="00766084" w:rsidRPr="00FE7693" w:rsidRDefault="00766084" w:rsidP="00FE7693">
      <w:pPr>
        <w:widowControl w:val="0"/>
        <w:autoSpaceDE w:val="0"/>
        <w:autoSpaceDN w:val="0"/>
        <w:adjustRightInd w:val="0"/>
        <w:spacing w:before="120"/>
        <w:rPr>
          <w:rFonts w:ascii="Arial" w:hAnsi="Arial" w:cs="Arial"/>
          <w:color w:val="000000"/>
          <w:sz w:val="20"/>
          <w:szCs w:val="22"/>
        </w:rPr>
      </w:pPr>
      <w:r w:rsidRPr="00FE7693">
        <w:rPr>
          <w:rFonts w:ascii="Arial" w:hAnsi="Arial" w:cs="Arial"/>
          <w:color w:val="000000"/>
          <w:sz w:val="20"/>
        </w:rPr>
        <w:t>6.1.1.</w:t>
      </w:r>
      <w:r w:rsidR="001F364C" w:rsidRPr="00FE7693">
        <w:rPr>
          <w:rFonts w:ascii="Arial" w:hAnsi="Arial" w:cs="Arial"/>
          <w:color w:val="000000"/>
          <w:sz w:val="20"/>
        </w:rPr>
        <w:t xml:space="preserve"> </w:t>
      </w:r>
      <w:r w:rsidRPr="00FE7693">
        <w:rPr>
          <w:rFonts w:ascii="Arial" w:hAnsi="Arial" w:cs="Arial"/>
          <w:color w:val="000000"/>
          <w:sz w:val="20"/>
        </w:rPr>
        <w:t>Mục tiêu</w:t>
      </w:r>
    </w:p>
    <w:p w14:paraId="7A098DBE" w14:textId="77777777" w:rsidR="00766084" w:rsidRPr="00FE7693" w:rsidRDefault="00766084" w:rsidP="00FE7693">
      <w:pPr>
        <w:widowControl w:val="0"/>
        <w:autoSpaceDE w:val="0"/>
        <w:autoSpaceDN w:val="0"/>
        <w:adjustRightInd w:val="0"/>
        <w:spacing w:before="120"/>
        <w:rPr>
          <w:rFonts w:ascii="Arial" w:hAnsi="Arial" w:cs="Arial"/>
          <w:color w:val="000000"/>
          <w:sz w:val="20"/>
          <w:szCs w:val="22"/>
        </w:rPr>
      </w:pPr>
      <w:r w:rsidRPr="00FE7693">
        <w:rPr>
          <w:rFonts w:ascii="Arial" w:hAnsi="Arial" w:cs="Arial"/>
          <w:color w:val="000000"/>
          <w:sz w:val="20"/>
        </w:rPr>
        <w:t>6.1.2. Nguyên tắc chung</w:t>
      </w:r>
    </w:p>
    <w:p w14:paraId="5B8FA663"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6.2.</w:t>
      </w:r>
      <w:r w:rsidR="001F364C" w:rsidRPr="00FE7693">
        <w:rPr>
          <w:rFonts w:ascii="Arial" w:hAnsi="Arial" w:cs="Arial"/>
          <w:color w:val="000000"/>
          <w:sz w:val="20"/>
        </w:rPr>
        <w:t xml:space="preserve"> </w:t>
      </w:r>
      <w:r w:rsidRPr="00FE7693">
        <w:rPr>
          <w:rFonts w:ascii="Arial" w:hAnsi="Arial" w:cs="Arial"/>
          <w:color w:val="000000"/>
          <w:sz w:val="20"/>
        </w:rPr>
        <w:t xml:space="preserve">Điều trị cụ thể </w:t>
      </w:r>
    </w:p>
    <w:p w14:paraId="30EF0140"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6.2.1.</w:t>
      </w:r>
      <w:r w:rsidR="001F364C" w:rsidRPr="00FE7693">
        <w:rPr>
          <w:rFonts w:ascii="Arial" w:hAnsi="Arial" w:cs="Arial"/>
          <w:color w:val="000000"/>
          <w:sz w:val="20"/>
        </w:rPr>
        <w:t xml:space="preserve"> </w:t>
      </w:r>
      <w:r w:rsidRPr="00FE7693">
        <w:rPr>
          <w:rFonts w:ascii="Arial" w:hAnsi="Arial" w:cs="Arial"/>
          <w:color w:val="000000"/>
          <w:sz w:val="20"/>
        </w:rPr>
        <w:t xml:space="preserve">Tiết thực </w:t>
      </w:r>
    </w:p>
    <w:p w14:paraId="5C0FD38F"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6.2.2.</w:t>
      </w:r>
      <w:r w:rsidR="001F364C" w:rsidRPr="00FE7693">
        <w:rPr>
          <w:rFonts w:ascii="Arial" w:hAnsi="Arial" w:cs="Arial"/>
          <w:color w:val="000000"/>
          <w:sz w:val="20"/>
        </w:rPr>
        <w:t xml:space="preserve"> </w:t>
      </w:r>
      <w:r w:rsidRPr="00FE7693">
        <w:rPr>
          <w:rFonts w:ascii="Arial" w:hAnsi="Arial" w:cs="Arial"/>
          <w:color w:val="000000"/>
          <w:sz w:val="20"/>
        </w:rPr>
        <w:t>Chế độ vận động trong điều trị béo phì</w:t>
      </w:r>
    </w:p>
    <w:p w14:paraId="6633F096"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6.2.3.</w:t>
      </w:r>
      <w:r w:rsidR="001F364C" w:rsidRPr="00FE7693">
        <w:rPr>
          <w:rFonts w:ascii="Arial" w:hAnsi="Arial" w:cs="Arial"/>
          <w:color w:val="000000"/>
          <w:sz w:val="20"/>
        </w:rPr>
        <w:t xml:space="preserve"> </w:t>
      </w:r>
      <w:r w:rsidRPr="00FE7693">
        <w:rPr>
          <w:rFonts w:ascii="Arial" w:hAnsi="Arial" w:cs="Arial"/>
          <w:color w:val="000000"/>
          <w:sz w:val="20"/>
        </w:rPr>
        <w:t>Tâm lý liệu pháp trong điều trị béo phì</w:t>
      </w:r>
    </w:p>
    <w:p w14:paraId="71A189F3"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6.2.4.</w:t>
      </w:r>
      <w:r w:rsidR="001F364C" w:rsidRPr="00FE7693">
        <w:rPr>
          <w:rFonts w:ascii="Arial" w:hAnsi="Arial" w:cs="Arial"/>
          <w:color w:val="000000"/>
          <w:sz w:val="20"/>
        </w:rPr>
        <w:t xml:space="preserve"> </w:t>
      </w:r>
      <w:r w:rsidRPr="00FE7693">
        <w:rPr>
          <w:rFonts w:ascii="Arial" w:hAnsi="Arial" w:cs="Arial"/>
          <w:color w:val="000000"/>
          <w:sz w:val="20"/>
        </w:rPr>
        <w:t xml:space="preserve">Thuốc </w:t>
      </w:r>
    </w:p>
    <w:p w14:paraId="5D3618DA"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6.2.5.</w:t>
      </w:r>
      <w:r w:rsidR="001F364C" w:rsidRPr="00FE7693">
        <w:rPr>
          <w:rFonts w:ascii="Arial" w:hAnsi="Arial" w:cs="Arial"/>
          <w:color w:val="000000"/>
          <w:sz w:val="20"/>
        </w:rPr>
        <w:t xml:space="preserve"> </w:t>
      </w:r>
      <w:r w:rsidRPr="00FE7693">
        <w:rPr>
          <w:rFonts w:ascii="Arial" w:hAnsi="Arial" w:cs="Arial"/>
          <w:color w:val="000000"/>
          <w:sz w:val="20"/>
        </w:rPr>
        <w:t xml:space="preserve">Điều trị phẫu thuật trong béo phì </w:t>
      </w:r>
    </w:p>
    <w:p w14:paraId="7F643A7C"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7.</w:t>
      </w:r>
      <w:r w:rsidR="001F364C" w:rsidRPr="00FE7693">
        <w:rPr>
          <w:rFonts w:ascii="Arial" w:hAnsi="Arial" w:cs="Arial"/>
          <w:color w:val="000000"/>
          <w:sz w:val="20"/>
        </w:rPr>
        <w:t xml:space="preserve"> </w:t>
      </w:r>
      <w:r w:rsidRPr="00FE7693">
        <w:rPr>
          <w:rFonts w:ascii="Arial" w:hAnsi="Arial" w:cs="Arial"/>
          <w:color w:val="000000"/>
          <w:sz w:val="20"/>
        </w:rPr>
        <w:t xml:space="preserve">BÉO PHÌ Ở TRẺ EM VÀ THANH THIẾU NIÊN </w:t>
      </w:r>
    </w:p>
    <w:p w14:paraId="43249857"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8.</w:t>
      </w:r>
      <w:r w:rsidR="001F364C" w:rsidRPr="00FE7693">
        <w:rPr>
          <w:rFonts w:ascii="Arial" w:hAnsi="Arial" w:cs="Arial"/>
          <w:color w:val="000000"/>
          <w:sz w:val="20"/>
        </w:rPr>
        <w:t xml:space="preserve"> </w:t>
      </w:r>
      <w:r w:rsidRPr="00FE7693">
        <w:rPr>
          <w:rFonts w:ascii="Arial" w:hAnsi="Arial" w:cs="Arial"/>
          <w:color w:val="000000"/>
          <w:sz w:val="20"/>
        </w:rPr>
        <w:t>KẾT LUẬN</w:t>
      </w:r>
    </w:p>
    <w:p w14:paraId="6DF50DA8"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Phụ lục: Thuốc điều trị béo phì </w:t>
      </w:r>
    </w:p>
    <w:p w14:paraId="6D19CDE1"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TÀI LIỆU THAM KHẢO </w:t>
      </w:r>
    </w:p>
    <w:p w14:paraId="11FC27A7" w14:textId="77777777" w:rsidR="0028508D" w:rsidRDefault="0028508D" w:rsidP="00FE7693">
      <w:pPr>
        <w:widowControl w:val="0"/>
        <w:autoSpaceDE w:val="0"/>
        <w:autoSpaceDN w:val="0"/>
        <w:adjustRightInd w:val="0"/>
        <w:spacing w:before="120"/>
        <w:jc w:val="center"/>
        <w:rPr>
          <w:rFonts w:ascii="Arial" w:hAnsi="Arial" w:cs="Arial"/>
          <w:b/>
          <w:color w:val="000000"/>
          <w:sz w:val="20"/>
        </w:rPr>
      </w:pPr>
    </w:p>
    <w:p w14:paraId="1189EF56" w14:textId="77777777" w:rsidR="0028508D" w:rsidRPr="0028508D" w:rsidRDefault="0028508D" w:rsidP="0028508D">
      <w:pPr>
        <w:widowControl w:val="0"/>
        <w:autoSpaceDE w:val="0"/>
        <w:autoSpaceDN w:val="0"/>
        <w:adjustRightInd w:val="0"/>
        <w:spacing w:before="120"/>
        <w:jc w:val="center"/>
        <w:rPr>
          <w:rFonts w:ascii="Arial" w:hAnsi="Arial" w:cs="Arial"/>
          <w:b/>
          <w:color w:val="000000"/>
        </w:rPr>
      </w:pPr>
      <w:r>
        <w:rPr>
          <w:rFonts w:ascii="Arial" w:hAnsi="Arial" w:cs="Arial"/>
          <w:b/>
          <w:color w:val="000000"/>
        </w:rPr>
        <w:t>HƯỚNG DẪN</w:t>
      </w:r>
    </w:p>
    <w:p w14:paraId="73AF7C86" w14:textId="77777777" w:rsidR="00766084" w:rsidRPr="0028508D" w:rsidRDefault="002D153D" w:rsidP="00FE7693">
      <w:pPr>
        <w:widowControl w:val="0"/>
        <w:autoSpaceDE w:val="0"/>
        <w:autoSpaceDN w:val="0"/>
        <w:adjustRightInd w:val="0"/>
        <w:spacing w:before="120"/>
        <w:jc w:val="center"/>
        <w:rPr>
          <w:rFonts w:ascii="Arial" w:hAnsi="Arial" w:cs="Arial"/>
          <w:color w:val="000000"/>
          <w:sz w:val="20"/>
        </w:rPr>
      </w:pPr>
      <w:r w:rsidRPr="0028508D">
        <w:rPr>
          <w:rFonts w:ascii="Arial" w:hAnsi="Arial" w:cs="Arial"/>
          <w:color w:val="000000"/>
          <w:sz w:val="20"/>
        </w:rPr>
        <w:t>CHẨN ĐOÁN VÀ ĐIỀU TRỊ BỆNH BÉO PHÌ</w:t>
      </w:r>
    </w:p>
    <w:p w14:paraId="2E49090E" w14:textId="77777777" w:rsidR="00766084" w:rsidRPr="00FE7693" w:rsidRDefault="002D153D"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1. ĐẠI CƯƠNG</w:t>
      </w:r>
    </w:p>
    <w:p w14:paraId="42ED38F9"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Béo phì là tình trạng tích tụ mỡ thừa hoặc bất thường, có thể ảnh hưởng xấu đến sức khỏe. Ở nhiều nước trên thế giới, tình trạng béo phì ngày càng gia tăng, đặc biệt trong 10 năm trở lại đây. Bệnh béo phì có sự thay đổi theo giới, tuổi, tình trạng kinh tế, xã hội, yếu tố chủng tộc. Tỷ lệ béo phì đang gia tăng nhanh tại Việt Nam khoảng 2,6% năm 2010 lên đến 3,6% năm 2014 tương đương với tốc độ tăng trưởng 38%.</w:t>
      </w:r>
    </w:p>
    <w:p w14:paraId="21AF8EF6"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Nghiên cứu được công bố vào năm 2018 về bệnh không lây nhiễm, ăn uống và dinh dưỡng ở Việt Nam trong thời gian từ 1975 </w:t>
      </w:r>
      <w:r w:rsidR="001F364C" w:rsidRPr="00FE7693">
        <w:rPr>
          <w:rFonts w:ascii="Arial" w:hAnsi="Arial" w:cs="Arial"/>
          <w:color w:val="000000"/>
          <w:sz w:val="20"/>
        </w:rPr>
        <w:t>-</w:t>
      </w:r>
      <w:r w:rsidRPr="00FE7693">
        <w:rPr>
          <w:rFonts w:ascii="Arial" w:hAnsi="Arial" w:cs="Arial"/>
          <w:color w:val="000000"/>
          <w:sz w:val="20"/>
        </w:rPr>
        <w:t xml:space="preserve"> 2015 cho thấy tần suất thừa cân, béo phì trên người lớn ở Việt Nam là 2,3% vào năm 1993 và tăng lên đáng kể 15% vào năm</w:t>
      </w:r>
      <w:r w:rsidR="002D153D" w:rsidRPr="00FE7693">
        <w:rPr>
          <w:rFonts w:ascii="Arial" w:hAnsi="Arial" w:cs="Arial"/>
          <w:color w:val="000000"/>
          <w:sz w:val="20"/>
        </w:rPr>
        <w:t xml:space="preserve"> </w:t>
      </w:r>
      <w:r w:rsidRPr="00FE7693">
        <w:rPr>
          <w:rFonts w:ascii="Arial" w:hAnsi="Arial" w:cs="Arial"/>
          <w:color w:val="000000"/>
          <w:sz w:val="20"/>
        </w:rPr>
        <w:t>2015, tỷ lệ ở thành thị gấp gần 2 lần so với nông thôn (22,1% so với 11,2%). Ngoài ra, nghiên cứu cũng ghi nhận lối sống của người Việt Nam thay đổi rất nhiều trong những năm gần đây như ít vận động hơn, trong chế độ ăn có nhiều muối, ăn nhiều mì ăn liền, uống nhiều nước ngọt, ăn ít rau và hải sản. Một thống kê tại Việt Nam 2021 cho kết quả tương tự với tỷ lệ thừa cân, béo phì ở Hà Nội và Hồ Chí Minh chiếm 18% tổng số lượng người thừa cân, béo phì trên toàn quốc.</w:t>
      </w:r>
    </w:p>
    <w:p w14:paraId="670C396C"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Rất đáng lưu ý là tỷ lệ thừa cân, béo phì ở trẻ em tuổi học đường 5-19 tuổi tăng từ 8,5% năm 2010 lên thành 19,0% năm 2020, trong đó tỷ lệ thừa cân béo phì khu vực thành thị là 26,8%, nông thôn là 18,3% và miền núi là 6,9%.</w:t>
      </w:r>
    </w:p>
    <w:p w14:paraId="5B03DE11"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Béo phì được các tổ chức y tế bao gồm Tổ chức Y tế Thế giới (WHO) và Hiệp hội Y khoa Hoa Kỳ (American Medical Association) công nhận là một bệnh mạn tính đòi hỏi phải quản lý và điều trị lâu dài.</w:t>
      </w:r>
    </w:p>
    <w:p w14:paraId="3E6B195A"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Béo phì có tác động bất lợi lên tất cả các vấn đề sức khỏe, làm giảm thời gian sống, gây ra nhiều bệnh lý mạn tính không lây như: đái tháo đường, bệnh lý tim mạch, tăng lipid máu, hội chứng ngưng thở lúc ngủ, làm giảm chất lượng sống,... Những biện pháp ngăn ngừa, điều trị thừa cân, béo phì và duy trì thực hiện việc kiểm soát cân nặng lâu dài có thể cải thiện tình trạng sức khỏe, giảm biến chứng cho người bệnh.</w:t>
      </w:r>
    </w:p>
    <w:p w14:paraId="2DB8701B"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Béo phì gây ra các vấn đề trầm trọng đến sức khỏe, là thủ phạm gây hơn 200 bệnh khác nhau, như bệnh tim mạch, đột quị, đái tháo đường, thoái hóa khớp, gan nhiễm mỡ và nhiều bệnh ung thư, đặc biệt là ung thư đường tiêu hóa…Tình trạng tự chữa béo phì không có hiệu quả, nhiều biến cố nặng và tốn kém</w:t>
      </w:r>
    </w:p>
    <w:p w14:paraId="17B1908E" w14:textId="77777777" w:rsidR="00766084" w:rsidRPr="00FE7693" w:rsidRDefault="005965FD"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2. NGUYÊN NHÂN SINH BỆNH BÉO PHÌ</w:t>
      </w:r>
    </w:p>
    <w:p w14:paraId="12035BC6" w14:textId="77777777" w:rsidR="00766084" w:rsidRPr="00FE7693" w:rsidRDefault="00766084"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2.1.</w:t>
      </w:r>
      <w:r w:rsidR="001F364C" w:rsidRPr="00FE7693">
        <w:rPr>
          <w:rFonts w:ascii="Arial" w:hAnsi="Arial" w:cs="Arial"/>
          <w:b/>
          <w:color w:val="000000"/>
          <w:sz w:val="20"/>
        </w:rPr>
        <w:t xml:space="preserve"> </w:t>
      </w:r>
      <w:r w:rsidRPr="00FE7693">
        <w:rPr>
          <w:rFonts w:ascii="Arial" w:hAnsi="Arial" w:cs="Arial"/>
          <w:b/>
          <w:color w:val="000000"/>
          <w:sz w:val="20"/>
        </w:rPr>
        <w:t>Nguyên nhân về dinh dưỡng</w:t>
      </w:r>
    </w:p>
    <w:p w14:paraId="25E479A6"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a)</w:t>
      </w:r>
      <w:r w:rsidR="001F364C" w:rsidRPr="00FE7693">
        <w:rPr>
          <w:rFonts w:ascii="Arial" w:hAnsi="Arial" w:cs="Arial"/>
          <w:color w:val="000000"/>
          <w:sz w:val="20"/>
        </w:rPr>
        <w:t xml:space="preserve"> </w:t>
      </w:r>
      <w:r w:rsidRPr="00FE7693">
        <w:rPr>
          <w:rFonts w:ascii="Arial" w:hAnsi="Arial" w:cs="Arial"/>
          <w:color w:val="000000"/>
          <w:sz w:val="20"/>
        </w:rPr>
        <w:t>Nguyên nhân dinh dưỡng của béo phì là đa dạng, chủ yếu do:</w:t>
      </w:r>
    </w:p>
    <w:p w14:paraId="491B8A0E"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Tăng quá mức lượng năng lượng ăn vào</w:t>
      </w:r>
    </w:p>
    <w:p w14:paraId="408C1021" w14:textId="77777777" w:rsidR="005965FD"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 xml:space="preserve">Ăn quá nhiều: nghĩa là ăn một lượng thức ăn nhiều hơn nhu cầu của cơ thể. </w:t>
      </w:r>
    </w:p>
    <w:p w14:paraId="5853A20C"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b)</w:t>
      </w:r>
      <w:r w:rsidR="001F364C" w:rsidRPr="00FE7693">
        <w:rPr>
          <w:rFonts w:ascii="Arial" w:hAnsi="Arial" w:cs="Arial"/>
          <w:color w:val="000000"/>
          <w:sz w:val="20"/>
        </w:rPr>
        <w:t xml:space="preserve"> </w:t>
      </w:r>
      <w:r w:rsidRPr="00FE7693">
        <w:rPr>
          <w:rFonts w:ascii="Arial" w:hAnsi="Arial" w:cs="Arial"/>
          <w:color w:val="000000"/>
          <w:sz w:val="20"/>
        </w:rPr>
        <w:t>Người ăn quá mức có thể do nhiều nguyên nhân khác nhau như:</w:t>
      </w:r>
    </w:p>
    <w:p w14:paraId="1B7C7AF5"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w:t>
      </w:r>
      <w:r w:rsidR="001F364C" w:rsidRPr="00FE7693">
        <w:rPr>
          <w:rFonts w:ascii="Arial" w:hAnsi="Arial" w:cs="Arial"/>
          <w:color w:val="000000"/>
          <w:sz w:val="20"/>
        </w:rPr>
        <w:t xml:space="preserve"> </w:t>
      </w:r>
      <w:r w:rsidRPr="00FE7693">
        <w:rPr>
          <w:rFonts w:ascii="Arial" w:hAnsi="Arial" w:cs="Arial"/>
          <w:color w:val="000000"/>
          <w:sz w:val="20"/>
        </w:rPr>
        <w:t>Thói quen của gia đình</w:t>
      </w:r>
    </w:p>
    <w:p w14:paraId="1185BF41"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w:t>
      </w:r>
      <w:r w:rsidR="001F364C" w:rsidRPr="00FE7693">
        <w:rPr>
          <w:rFonts w:ascii="Arial" w:hAnsi="Arial" w:cs="Arial"/>
          <w:color w:val="000000"/>
          <w:sz w:val="20"/>
        </w:rPr>
        <w:t xml:space="preserve"> </w:t>
      </w:r>
      <w:r w:rsidRPr="00FE7693">
        <w:rPr>
          <w:rFonts w:ascii="Arial" w:hAnsi="Arial" w:cs="Arial"/>
          <w:color w:val="000000"/>
          <w:sz w:val="20"/>
        </w:rPr>
        <w:t>Sự chủ quan của người ăn nhiều</w:t>
      </w:r>
    </w:p>
    <w:p w14:paraId="5306E792"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Chế độ ăn “giàu” chất béo</w:t>
      </w:r>
    </w:p>
    <w:p w14:paraId="4AEEA667"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Ở trẻ em: tiêu thụ quá nhiều chất ngọt làm tăng nguy cơ béo phì</w:t>
      </w:r>
    </w:p>
    <w:p w14:paraId="40729981"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Nuôi con bằng sữa mẹ ít hơn 3 tháng thường đi kèm với tăng nguy cơ béo phì ở trẻ em khi đến trường.</w:t>
      </w:r>
    </w:p>
    <w:p w14:paraId="0777CCC6" w14:textId="77777777" w:rsidR="00766084" w:rsidRPr="00FE7693" w:rsidRDefault="00766084"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2.2.</w:t>
      </w:r>
      <w:r w:rsidR="001F364C" w:rsidRPr="00FE7693">
        <w:rPr>
          <w:rFonts w:ascii="Arial" w:hAnsi="Arial" w:cs="Arial"/>
          <w:b/>
          <w:color w:val="000000"/>
          <w:sz w:val="20"/>
        </w:rPr>
        <w:t xml:space="preserve"> </w:t>
      </w:r>
      <w:r w:rsidRPr="00FE7693">
        <w:rPr>
          <w:rFonts w:ascii="Arial" w:hAnsi="Arial" w:cs="Arial"/>
          <w:b/>
          <w:color w:val="000000"/>
          <w:sz w:val="20"/>
        </w:rPr>
        <w:t>Nguyên nhân</w:t>
      </w:r>
      <w:r w:rsidR="001F364C" w:rsidRPr="00FE7693">
        <w:rPr>
          <w:rFonts w:ascii="Arial" w:hAnsi="Arial" w:cs="Arial"/>
          <w:b/>
          <w:color w:val="000000"/>
          <w:sz w:val="20"/>
        </w:rPr>
        <w:t xml:space="preserve"> </w:t>
      </w:r>
      <w:r w:rsidRPr="00FE7693">
        <w:rPr>
          <w:rFonts w:ascii="Arial" w:hAnsi="Arial" w:cs="Arial"/>
          <w:b/>
          <w:color w:val="000000"/>
          <w:sz w:val="20"/>
        </w:rPr>
        <w:t>di truyền</w:t>
      </w:r>
    </w:p>
    <w:p w14:paraId="19F7726B"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Tế bào mỡ dễ dàng phân chia theo một trong hai cách:</w:t>
      </w:r>
    </w:p>
    <w:p w14:paraId="44ED25F9"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Quá sản: vừa tăng thể tích, vừa tăng số lượng tế bào mỡ (tăng gấp 3 - 4 lần), xảy ra cho trẻ em hoặc tuổi dậy thì, khó điều trị.</w:t>
      </w:r>
    </w:p>
    <w:p w14:paraId="58D696A6"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Phì đại: tế bào mỡ to ra do gia tăng sự tích tụ mỡ nhưng không tăng số lượng hay gặp</w:t>
      </w:r>
      <w:r w:rsidR="005965FD" w:rsidRPr="00FE7693">
        <w:rPr>
          <w:rFonts w:ascii="Arial" w:hAnsi="Arial" w:cs="Arial"/>
          <w:color w:val="000000"/>
          <w:sz w:val="20"/>
        </w:rPr>
        <w:t xml:space="preserve"> </w:t>
      </w:r>
      <w:r w:rsidR="00766084" w:rsidRPr="00FE7693">
        <w:rPr>
          <w:rFonts w:ascii="Arial" w:hAnsi="Arial" w:cs="Arial"/>
          <w:color w:val="000000"/>
          <w:sz w:val="20"/>
        </w:rPr>
        <w:t>ở người lớn, tiên lượng tốt hơn.</w:t>
      </w:r>
    </w:p>
    <w:p w14:paraId="3B5E4C4D" w14:textId="77777777" w:rsidR="00766084" w:rsidRPr="00FE7693" w:rsidRDefault="00766084"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2.3.</w:t>
      </w:r>
      <w:r w:rsidR="001F364C" w:rsidRPr="00FE7693">
        <w:rPr>
          <w:rFonts w:ascii="Arial" w:hAnsi="Arial" w:cs="Arial"/>
          <w:b/>
          <w:color w:val="000000"/>
          <w:sz w:val="20"/>
        </w:rPr>
        <w:t xml:space="preserve"> </w:t>
      </w:r>
      <w:r w:rsidRPr="00FE7693">
        <w:rPr>
          <w:rFonts w:ascii="Arial" w:hAnsi="Arial" w:cs="Arial"/>
          <w:b/>
          <w:color w:val="000000"/>
          <w:sz w:val="20"/>
        </w:rPr>
        <w:t>Nguyên nhân</w:t>
      </w:r>
      <w:r w:rsidR="001F364C" w:rsidRPr="00FE7693">
        <w:rPr>
          <w:rFonts w:ascii="Arial" w:hAnsi="Arial" w:cs="Arial"/>
          <w:b/>
          <w:color w:val="000000"/>
          <w:sz w:val="20"/>
        </w:rPr>
        <w:t xml:space="preserve"> </w:t>
      </w:r>
      <w:r w:rsidRPr="00FE7693">
        <w:rPr>
          <w:rFonts w:ascii="Arial" w:hAnsi="Arial" w:cs="Arial"/>
          <w:b/>
          <w:color w:val="000000"/>
          <w:sz w:val="20"/>
        </w:rPr>
        <w:t>nội tiết</w:t>
      </w:r>
    </w:p>
    <w:p w14:paraId="2BA1F253"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Tổn thương hạ đồi do chấn thương, bệnh lý ác tính,</w:t>
      </w:r>
      <w:r w:rsidR="005965FD" w:rsidRPr="00FE7693">
        <w:rPr>
          <w:rFonts w:ascii="Arial" w:hAnsi="Arial" w:cs="Arial"/>
          <w:color w:val="000000"/>
          <w:sz w:val="20"/>
        </w:rPr>
        <w:t xml:space="preserve"> viêm nhiễm, suy sinh dục, giảm </w:t>
      </w:r>
      <w:r w:rsidR="00766084" w:rsidRPr="00FE7693">
        <w:rPr>
          <w:rFonts w:ascii="Arial" w:hAnsi="Arial" w:cs="Arial"/>
          <w:color w:val="000000"/>
          <w:sz w:val="20"/>
        </w:rPr>
        <w:t>gonadotropin.</w:t>
      </w:r>
    </w:p>
    <w:p w14:paraId="7EDA3782"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 xml:space="preserve">Hội chứng béo phì </w:t>
      </w:r>
      <w:r w:rsidRPr="00FE7693">
        <w:rPr>
          <w:rFonts w:ascii="Arial" w:hAnsi="Arial" w:cs="Arial"/>
          <w:color w:val="000000"/>
          <w:sz w:val="20"/>
        </w:rPr>
        <w:t>–</w:t>
      </w:r>
      <w:r w:rsidR="00766084" w:rsidRPr="00FE7693">
        <w:rPr>
          <w:rFonts w:ascii="Arial" w:hAnsi="Arial" w:cs="Arial"/>
          <w:color w:val="000000"/>
          <w:sz w:val="20"/>
        </w:rPr>
        <w:t xml:space="preserve"> sinh dục</w:t>
      </w:r>
    </w:p>
    <w:p w14:paraId="149082DF"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Suy giáp</w:t>
      </w:r>
    </w:p>
    <w:p w14:paraId="06F9563E"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Cường thượng thận</w:t>
      </w:r>
    </w:p>
    <w:p w14:paraId="266E48F7"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U tụy tiết insulin</w:t>
      </w:r>
    </w:p>
    <w:p w14:paraId="6FF1E74C"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Hội chứng buồng trứng đa nang</w:t>
      </w:r>
    </w:p>
    <w:p w14:paraId="2E4337F6" w14:textId="77777777" w:rsidR="00766084" w:rsidRPr="00FE7693" w:rsidRDefault="00766084"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2.4.</w:t>
      </w:r>
      <w:r w:rsidR="001F364C" w:rsidRPr="00FE7693">
        <w:rPr>
          <w:rFonts w:ascii="Arial" w:hAnsi="Arial" w:cs="Arial"/>
          <w:b/>
          <w:color w:val="000000"/>
          <w:sz w:val="20"/>
        </w:rPr>
        <w:t xml:space="preserve"> </w:t>
      </w:r>
      <w:r w:rsidRPr="00FE7693">
        <w:rPr>
          <w:rFonts w:ascii="Arial" w:hAnsi="Arial" w:cs="Arial"/>
          <w:b/>
          <w:color w:val="000000"/>
          <w:sz w:val="20"/>
        </w:rPr>
        <w:t>Nguyên nhân</w:t>
      </w:r>
      <w:r w:rsidR="001F364C" w:rsidRPr="00FE7693">
        <w:rPr>
          <w:rFonts w:ascii="Arial" w:hAnsi="Arial" w:cs="Arial"/>
          <w:b/>
          <w:color w:val="000000"/>
          <w:sz w:val="20"/>
        </w:rPr>
        <w:t xml:space="preserve"> </w:t>
      </w:r>
      <w:r w:rsidRPr="00FE7693">
        <w:rPr>
          <w:rFonts w:ascii="Arial" w:hAnsi="Arial" w:cs="Arial"/>
          <w:b/>
          <w:color w:val="000000"/>
          <w:sz w:val="20"/>
        </w:rPr>
        <w:t>mô bệnh học</w:t>
      </w:r>
    </w:p>
    <w:p w14:paraId="63C69AD4"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Tăng sản quá mức số lượng tế bào mỡ mà kích thước tế bào mỡ có thể bình thường.</w:t>
      </w:r>
    </w:p>
    <w:p w14:paraId="552E9546"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Phì đại tế bào mỡ mà số lượng tế bào mỡ không tăng hoặc chỉ tăng khi các tế bào mỡ</w:t>
      </w:r>
      <w:r w:rsidRPr="00FE7693">
        <w:rPr>
          <w:rFonts w:ascii="Arial" w:hAnsi="Arial" w:cs="Arial"/>
          <w:color w:val="000000"/>
          <w:sz w:val="20"/>
        </w:rPr>
        <w:t xml:space="preserve"> </w:t>
      </w:r>
      <w:r w:rsidR="00766084" w:rsidRPr="00FE7693">
        <w:rPr>
          <w:rFonts w:ascii="Arial" w:hAnsi="Arial" w:cs="Arial"/>
          <w:color w:val="000000"/>
          <w:sz w:val="20"/>
        </w:rPr>
        <w:t>phì to hết cỡ.</w:t>
      </w:r>
    </w:p>
    <w:p w14:paraId="77218B99" w14:textId="77777777" w:rsidR="00766084" w:rsidRPr="00FE7693" w:rsidRDefault="00766084"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2.5.</w:t>
      </w:r>
      <w:r w:rsidR="001F364C" w:rsidRPr="00FE7693">
        <w:rPr>
          <w:rFonts w:ascii="Arial" w:hAnsi="Arial" w:cs="Arial"/>
          <w:b/>
          <w:color w:val="000000"/>
          <w:sz w:val="20"/>
        </w:rPr>
        <w:t xml:space="preserve"> </w:t>
      </w:r>
      <w:r w:rsidRPr="00FE7693">
        <w:rPr>
          <w:rFonts w:ascii="Arial" w:hAnsi="Arial" w:cs="Arial"/>
          <w:b/>
          <w:color w:val="000000"/>
          <w:sz w:val="20"/>
        </w:rPr>
        <w:t>Nguyên nhân do sử dụng thuốc</w:t>
      </w:r>
    </w:p>
    <w:p w14:paraId="5CF55F5F"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Hormon steroide</w:t>
      </w:r>
    </w:p>
    <w:p w14:paraId="4C58A3D7" w14:textId="77777777" w:rsidR="009C3A61"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Kháng trầm cảm cổ điển (3 vòng, 4 vòng, IMAO)</w:t>
      </w:r>
    </w:p>
    <w:p w14:paraId="7F925142"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w:t>
      </w:r>
      <w:r w:rsidR="00766084" w:rsidRPr="00FE7693">
        <w:rPr>
          <w:rFonts w:ascii="Arial" w:hAnsi="Arial" w:cs="Arial"/>
          <w:color w:val="000000"/>
          <w:sz w:val="20"/>
        </w:rPr>
        <w:t xml:space="preserve"> Benzodiazepine</w:t>
      </w:r>
    </w:p>
    <w:p w14:paraId="2B444F3B"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Lithium</w:t>
      </w:r>
    </w:p>
    <w:p w14:paraId="76A066D1" w14:textId="77777777" w:rsidR="00766084" w:rsidRPr="00FE7693" w:rsidRDefault="009C3A61"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Thuốc chống loạn thần</w:t>
      </w:r>
    </w:p>
    <w:p w14:paraId="02955EB5" w14:textId="77777777" w:rsidR="00766084" w:rsidRPr="00FE7693" w:rsidRDefault="00766084"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2.6.</w:t>
      </w:r>
      <w:r w:rsidR="001F364C" w:rsidRPr="00FE7693">
        <w:rPr>
          <w:rFonts w:ascii="Arial" w:hAnsi="Arial" w:cs="Arial"/>
          <w:b/>
          <w:color w:val="000000"/>
          <w:sz w:val="20"/>
        </w:rPr>
        <w:t xml:space="preserve"> </w:t>
      </w:r>
      <w:r w:rsidRPr="00FE7693">
        <w:rPr>
          <w:rFonts w:ascii="Arial" w:hAnsi="Arial" w:cs="Arial"/>
          <w:b/>
          <w:color w:val="000000"/>
          <w:sz w:val="20"/>
        </w:rPr>
        <w:t>Nguyên nhân</w:t>
      </w:r>
      <w:r w:rsidR="001F364C" w:rsidRPr="00FE7693">
        <w:rPr>
          <w:rFonts w:ascii="Arial" w:hAnsi="Arial" w:cs="Arial"/>
          <w:b/>
          <w:color w:val="000000"/>
          <w:sz w:val="20"/>
        </w:rPr>
        <w:t xml:space="preserve"> </w:t>
      </w:r>
      <w:r w:rsidRPr="00FE7693">
        <w:rPr>
          <w:rFonts w:ascii="Arial" w:hAnsi="Arial" w:cs="Arial"/>
          <w:b/>
          <w:color w:val="000000"/>
          <w:sz w:val="20"/>
        </w:rPr>
        <w:t>khác</w:t>
      </w:r>
    </w:p>
    <w:p w14:paraId="375F061E" w14:textId="77777777" w:rsidR="00766084" w:rsidRPr="00FE7693" w:rsidRDefault="0094579C"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Lối sống tĩnh tại, lười hoạt động thể lực</w:t>
      </w:r>
    </w:p>
    <w:p w14:paraId="537A87DD" w14:textId="77777777" w:rsidR="00766084" w:rsidRPr="00FE7693" w:rsidRDefault="0094579C"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Bỏ hút thuốc lá. Cần chủ động phòng thừa cân, béo phì khi bỏ thuốc lá</w:t>
      </w:r>
    </w:p>
    <w:p w14:paraId="1EBB0766" w14:textId="77777777" w:rsidR="00766084" w:rsidRPr="00FE7693" w:rsidRDefault="0094579C"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Hút thuốc khi mang thai: con cái của các bà mẹ hút thuốc khi mang thai có nguy cơ gia tăng trọng lượng đáng kể về sau này.</w:t>
      </w:r>
    </w:p>
    <w:p w14:paraId="08178CEE"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Tuy nhiên, bệnh nhân béo phì có thể do có nhiều nguyên nhân phối hợp</w:t>
      </w:r>
    </w:p>
    <w:p w14:paraId="0A8634C5" w14:textId="77777777" w:rsidR="00766084" w:rsidRPr="00FE7693" w:rsidRDefault="0094579C"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3. SINH LÝ BỆNH BÉO PHÌ</w:t>
      </w:r>
    </w:p>
    <w:p w14:paraId="59A326C8" w14:textId="77777777" w:rsidR="00766084" w:rsidRPr="00FE7693" w:rsidRDefault="0094579C"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Bilan năng lượng: Bilan năng lượng cân bằng nếu cung cấp (thức ăn) bằng tiêu thụ (vận động cơ, hoạt động các cơ quan). Béo phì xuất hiện do mất cân bằng này hoặc do cung cấp gia tăng hoặc do tiêu thụ giảm</w:t>
      </w:r>
    </w:p>
    <w:p w14:paraId="6313AFDB" w14:textId="77777777" w:rsidR="00766084" w:rsidRPr="00FE7693" w:rsidRDefault="0094579C"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Sự điều hòa thể trọng: quá trình này thông qua nhiều hormone, đặc biệt là leptin</w:t>
      </w:r>
    </w:p>
    <w:p w14:paraId="054E3F4D" w14:textId="77777777" w:rsidR="00766084" w:rsidRPr="00FE7693" w:rsidRDefault="00814E27"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Yếu tố di truyền: Béo phì có yếu tố gia đình: 69% người béo phì có cha hoặc mẹ béo phì, 18% có cả hai</w:t>
      </w:r>
    </w:p>
    <w:p w14:paraId="25DF1F2D" w14:textId="77777777" w:rsidR="00766084" w:rsidRPr="00FE7693" w:rsidRDefault="00814E27"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Vai trò vùng dưới đồi</w:t>
      </w:r>
    </w:p>
    <w:p w14:paraId="7BBBCFA5" w14:textId="77777777" w:rsidR="00766084" w:rsidRPr="00FE7693" w:rsidRDefault="00814E27" w:rsidP="00FE7693">
      <w:pPr>
        <w:widowControl w:val="0"/>
        <w:tabs>
          <w:tab w:val="left" w:pos="980"/>
        </w:tabs>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Các tác nhân alpha-adrenergic, kích thích sự ăn làm tăng cân, tác động lên nhân cạnh thất</w:t>
      </w:r>
    </w:p>
    <w:p w14:paraId="6F19E606"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w:t>
      </w:r>
      <w:r w:rsidR="001F364C" w:rsidRPr="00FE7693">
        <w:rPr>
          <w:rFonts w:ascii="Arial" w:hAnsi="Arial" w:cs="Arial"/>
          <w:color w:val="000000"/>
          <w:sz w:val="20"/>
        </w:rPr>
        <w:t xml:space="preserve"> </w:t>
      </w:r>
      <w:r w:rsidRPr="00FE7693">
        <w:rPr>
          <w:rFonts w:ascii="Arial" w:hAnsi="Arial" w:cs="Arial"/>
          <w:color w:val="000000"/>
          <w:sz w:val="20"/>
        </w:rPr>
        <w:t>Các tác nhân beta-adrenergic: ngược lại làm chán ăn</w:t>
      </w:r>
    </w:p>
    <w:p w14:paraId="4F9A6266" w14:textId="77777777" w:rsidR="00766084" w:rsidRPr="00FE7693" w:rsidRDefault="00814E27"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Beta-endorphine: các thụ thể này làm dễ sự tiết insulin, gây ăn nhiều làm tăng cân.</w:t>
      </w:r>
    </w:p>
    <w:p w14:paraId="70BDC462"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w:t>
      </w:r>
      <w:r w:rsidR="001F364C" w:rsidRPr="00FE7693">
        <w:rPr>
          <w:rFonts w:ascii="Arial" w:hAnsi="Arial" w:cs="Arial"/>
          <w:color w:val="000000"/>
          <w:sz w:val="20"/>
        </w:rPr>
        <w:t xml:space="preserve"> </w:t>
      </w:r>
      <w:r w:rsidRPr="00FE7693">
        <w:rPr>
          <w:rFonts w:ascii="Arial" w:hAnsi="Arial" w:cs="Arial"/>
          <w:color w:val="000000"/>
          <w:sz w:val="20"/>
        </w:rPr>
        <w:t>Naloxone: đối kháng beta-endorphine, làm giảm ăn nhất là các thức ăn có vị ngon</w:t>
      </w:r>
    </w:p>
    <w:p w14:paraId="3B23E1EE"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w:t>
      </w:r>
      <w:r w:rsidR="001F364C" w:rsidRPr="00FE7693">
        <w:rPr>
          <w:rFonts w:ascii="Arial" w:hAnsi="Arial" w:cs="Arial"/>
          <w:color w:val="000000"/>
          <w:sz w:val="20"/>
        </w:rPr>
        <w:t xml:space="preserve"> </w:t>
      </w:r>
      <w:r w:rsidRPr="00FE7693">
        <w:rPr>
          <w:rFonts w:ascii="Arial" w:hAnsi="Arial" w:cs="Arial"/>
          <w:color w:val="000000"/>
          <w:sz w:val="20"/>
        </w:rPr>
        <w:t>Serotonine: đối kháng với alpha-adrenergic, làm giảm ăn. Các hormone:</w:t>
      </w:r>
    </w:p>
    <w:p w14:paraId="6A9F4AE3"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w:t>
      </w:r>
      <w:r w:rsidR="001F364C" w:rsidRPr="00FE7693">
        <w:rPr>
          <w:rFonts w:ascii="Arial" w:hAnsi="Arial" w:cs="Arial"/>
          <w:color w:val="000000"/>
          <w:sz w:val="20"/>
        </w:rPr>
        <w:t xml:space="preserve"> </w:t>
      </w:r>
      <w:r w:rsidRPr="00FE7693">
        <w:rPr>
          <w:rFonts w:ascii="Arial" w:hAnsi="Arial" w:cs="Arial"/>
          <w:color w:val="000000"/>
          <w:sz w:val="20"/>
        </w:rPr>
        <w:t>Insulin là hormone làm tân sinh mỡ</w:t>
      </w:r>
    </w:p>
    <w:p w14:paraId="7C08E816"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w:t>
      </w:r>
      <w:r w:rsidR="001F364C" w:rsidRPr="00FE7693">
        <w:rPr>
          <w:rFonts w:ascii="Arial" w:hAnsi="Arial" w:cs="Arial"/>
          <w:color w:val="000000"/>
          <w:sz w:val="20"/>
        </w:rPr>
        <w:t xml:space="preserve"> </w:t>
      </w:r>
      <w:r w:rsidRPr="00FE7693">
        <w:rPr>
          <w:rFonts w:ascii="Arial" w:hAnsi="Arial" w:cs="Arial"/>
          <w:color w:val="000000"/>
          <w:sz w:val="20"/>
        </w:rPr>
        <w:t>Glucagon tác dụng đối kháng insulin</w:t>
      </w:r>
    </w:p>
    <w:p w14:paraId="7CBC9D55" w14:textId="77777777" w:rsidR="00766084" w:rsidRPr="00FE7693" w:rsidRDefault="00814E27" w:rsidP="00FE7693">
      <w:pPr>
        <w:widowControl w:val="0"/>
        <w:tabs>
          <w:tab w:val="left" w:pos="980"/>
        </w:tabs>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Enkephalin và catecholamin từ tuyến thượng thận cũng có vai trò trong điều hòa thể trọng</w:t>
      </w:r>
    </w:p>
    <w:p w14:paraId="6AECC421"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w:t>
      </w:r>
      <w:r w:rsidR="001F364C" w:rsidRPr="00FE7693">
        <w:rPr>
          <w:rFonts w:ascii="Arial" w:hAnsi="Arial" w:cs="Arial"/>
          <w:color w:val="000000"/>
          <w:sz w:val="20"/>
        </w:rPr>
        <w:t xml:space="preserve"> </w:t>
      </w:r>
      <w:r w:rsidRPr="00FE7693">
        <w:rPr>
          <w:rFonts w:ascii="Arial" w:hAnsi="Arial" w:cs="Arial"/>
          <w:color w:val="000000"/>
          <w:sz w:val="20"/>
        </w:rPr>
        <w:t>Hormone sinh dục và thượng thận có vai trò trong phân bố mỡ</w:t>
      </w:r>
    </w:p>
    <w:p w14:paraId="182D28BE" w14:textId="77777777" w:rsidR="00766084" w:rsidRPr="00FE7693" w:rsidRDefault="00430D36"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Vai trò của stress: làm tăng beta-endorphine và adrenalin ở người béo phì, từ đó làm tăng đường huyết, tác dụng phối hợp của 2 hormone này thiết lập sự liên hệ giữa stress, béo phì và đái tháo đường típ 2.</w:t>
      </w:r>
    </w:p>
    <w:p w14:paraId="1780B327" w14:textId="77777777" w:rsidR="00766084" w:rsidRPr="00FE7693" w:rsidRDefault="00430D36"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Thái độ ăn uống: trung tâm đói và no do vùng dưới đồi điều khiển, thái độ ăn uống có thể bị thay đổi do thuốc, chẳng hạn thuốc thần kinh (amphetamine) làm giảm ngon miệng, chống trầm cảm 3 vòng làm tăng sự ngon miệng. Các yếu tố tâm lý liên quan đến môi trường như giáo dục, đời sống gia đình, môi trường công việc...có thể làm rối loạn thái độ ăn uống, từ đó có thể làm ăn nhiều hoặc chán ăn.</w:t>
      </w:r>
    </w:p>
    <w:p w14:paraId="3F65A680" w14:textId="77777777" w:rsidR="00766084" w:rsidRPr="00FE7693" w:rsidRDefault="00430D36"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 xml:space="preserve">- </w:t>
      </w:r>
      <w:r w:rsidR="00766084" w:rsidRPr="00FE7693">
        <w:rPr>
          <w:rFonts w:ascii="Arial" w:hAnsi="Arial" w:cs="Arial"/>
          <w:color w:val="000000"/>
          <w:sz w:val="20"/>
        </w:rPr>
        <w:t>Thuốc: nhiều loại thuốc làm tăng cân như các thuốc an thần kinh, muối lithium, corticoide, đồng hóa protein, sinh progesteron, và có khi osestrogene (làm tăng ngon miệng).</w:t>
      </w:r>
    </w:p>
    <w:p w14:paraId="39B15358" w14:textId="77777777" w:rsidR="00766084" w:rsidRPr="00FE7693" w:rsidRDefault="00430D36"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4. CHẨN ĐOÁN</w:t>
      </w:r>
    </w:p>
    <w:p w14:paraId="62D71E73" w14:textId="77777777" w:rsidR="00766084" w:rsidRPr="00FE7693" w:rsidRDefault="00766084" w:rsidP="00FE7693">
      <w:pPr>
        <w:widowControl w:val="0"/>
        <w:autoSpaceDE w:val="0"/>
        <w:autoSpaceDN w:val="0"/>
        <w:adjustRightInd w:val="0"/>
        <w:spacing w:before="120"/>
        <w:rPr>
          <w:rFonts w:ascii="Arial" w:hAnsi="Arial" w:cs="Arial"/>
          <w:b/>
          <w:color w:val="000000"/>
          <w:sz w:val="20"/>
        </w:rPr>
      </w:pPr>
      <w:r w:rsidRPr="00FE7693">
        <w:rPr>
          <w:rFonts w:ascii="Arial" w:hAnsi="Arial" w:cs="Arial"/>
          <w:b/>
          <w:color w:val="000000"/>
          <w:sz w:val="20"/>
        </w:rPr>
        <w:t>4.1.</w:t>
      </w:r>
      <w:r w:rsidR="001F364C" w:rsidRPr="00FE7693">
        <w:rPr>
          <w:rFonts w:ascii="Arial" w:hAnsi="Arial" w:cs="Arial"/>
          <w:b/>
          <w:color w:val="000000"/>
          <w:sz w:val="20"/>
        </w:rPr>
        <w:t xml:space="preserve"> </w:t>
      </w:r>
      <w:r w:rsidRPr="00FE7693">
        <w:rPr>
          <w:rFonts w:ascii="Arial" w:hAnsi="Arial" w:cs="Arial"/>
          <w:b/>
          <w:color w:val="000000"/>
          <w:sz w:val="20"/>
        </w:rPr>
        <w:t>Chỉ số khối cơ thể (BMI- Body mass index)</w:t>
      </w:r>
    </w:p>
    <w:p w14:paraId="71B8068E"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Chiều cao đứng: được đo bằng thước. Người được đo đứng thẳng trong tư thế thoải mái, mắt nhìn về phía trước, hai gót chân sát nhau chụm lại thành hình chữ V, đo một đường thẳng từ đỉnh đầu đến gót chân. Kết quả tính bằng đơn vị mét và sai số không quá 0,1 cm.</w:t>
      </w:r>
    </w:p>
    <w:p w14:paraId="3BE05B30"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Trọng lượng cơ thể: Cân nặng: Người được đo mặc quần áo mỏng nhẹ, bỏ guốc dép và đứng lên cân theo đúng vị trí, chỉ số trên màn hình sẽ báo trọng lượng cơ thể. Đo trọng lượng cơ thể chính xác đến 0,1 kg. Đơn vị biểu thị trọng lượng: kg.</w:t>
      </w:r>
    </w:p>
    <w:p w14:paraId="291725F8" w14:textId="77777777" w:rsidR="00766084" w:rsidRPr="00FE7693" w:rsidRDefault="00766084" w:rsidP="00FE7693">
      <w:pPr>
        <w:widowControl w:val="0"/>
        <w:autoSpaceDE w:val="0"/>
        <w:autoSpaceDN w:val="0"/>
        <w:adjustRightInd w:val="0"/>
        <w:spacing w:before="120"/>
        <w:rPr>
          <w:rFonts w:ascii="Arial" w:hAnsi="Arial" w:cs="Arial"/>
          <w:color w:val="000000"/>
          <w:sz w:val="20"/>
        </w:rPr>
      </w:pPr>
      <w:r w:rsidRPr="00FE7693">
        <w:rPr>
          <w:rFonts w:ascii="Arial" w:hAnsi="Arial" w:cs="Arial"/>
          <w:color w:val="000000"/>
          <w:sz w:val="20"/>
        </w:rPr>
        <w:t>BMI (kg/</w:t>
      </w:r>
      <w:r w:rsidR="00940AB7" w:rsidRPr="00FE7693">
        <w:rPr>
          <w:rFonts w:ascii="Arial" w:hAnsi="Arial" w:cs="Arial"/>
          <w:color w:val="000000"/>
          <w:sz w:val="20"/>
        </w:rPr>
        <w:t>m</w:t>
      </w:r>
      <w:r w:rsidR="00940AB7" w:rsidRPr="00FE7693">
        <w:rPr>
          <w:rFonts w:ascii="Arial" w:hAnsi="Arial" w:cs="Arial"/>
          <w:color w:val="000000"/>
          <w:sz w:val="20"/>
          <w:vertAlign w:val="superscript"/>
        </w:rPr>
        <w:t>2</w:t>
      </w:r>
      <w:r w:rsidRPr="00FE7693">
        <w:rPr>
          <w:rFonts w:ascii="Arial" w:hAnsi="Arial" w:cs="Arial"/>
          <w:color w:val="000000"/>
          <w:sz w:val="20"/>
        </w:rPr>
        <w:t>) = Cân nặng (kg)/Chiều cao (</w:t>
      </w:r>
      <w:r w:rsidR="00940AB7" w:rsidRPr="00FE7693">
        <w:rPr>
          <w:rFonts w:ascii="Arial" w:hAnsi="Arial" w:cs="Arial"/>
          <w:color w:val="000000"/>
          <w:sz w:val="20"/>
        </w:rPr>
        <w:t>m</w:t>
      </w:r>
      <w:r w:rsidR="00940AB7" w:rsidRPr="00FE7693">
        <w:rPr>
          <w:rFonts w:ascii="Arial" w:hAnsi="Arial" w:cs="Arial"/>
          <w:color w:val="000000"/>
          <w:sz w:val="20"/>
          <w:vertAlign w:val="superscript"/>
        </w:rPr>
        <w:t>2</w:t>
      </w:r>
      <w:r w:rsidRPr="00FE7693">
        <w:rPr>
          <w:rFonts w:ascii="Arial" w:hAnsi="Arial" w:cs="Arial"/>
          <w:color w:val="000000"/>
          <w:sz w:val="20"/>
        </w:rPr>
        <w:t>)</w:t>
      </w:r>
    </w:p>
    <w:p w14:paraId="78185349" w14:textId="77777777" w:rsidR="00766084" w:rsidRPr="00FE7693" w:rsidRDefault="00766084" w:rsidP="00FE7693">
      <w:pPr>
        <w:widowControl w:val="0"/>
        <w:autoSpaceDE w:val="0"/>
        <w:autoSpaceDN w:val="0"/>
        <w:adjustRightInd w:val="0"/>
        <w:spacing w:before="120"/>
        <w:jc w:val="center"/>
        <w:rPr>
          <w:rFonts w:ascii="Arial" w:hAnsi="Arial" w:cs="Arial"/>
          <w:color w:val="000000"/>
          <w:sz w:val="20"/>
        </w:rPr>
      </w:pPr>
      <w:r w:rsidRPr="00FE7693">
        <w:rPr>
          <w:rFonts w:ascii="Arial" w:hAnsi="Arial" w:cs="Arial"/>
          <w:color w:val="000000"/>
          <w:sz w:val="20"/>
        </w:rPr>
        <w:t xml:space="preserve">Bảng 4.1. Đánh giá tình trạng thừa cân, béo phì theo tiêu chuẩn của </w:t>
      </w:r>
      <w:r w:rsidRPr="00FE7693">
        <w:rPr>
          <w:rFonts w:ascii="Arial" w:hAnsi="Arial" w:cs="Arial"/>
          <w:color w:val="212121"/>
          <w:sz w:val="20"/>
        </w:rPr>
        <w:t>WHO</w:t>
      </w:r>
      <w:r w:rsidR="00430D36" w:rsidRPr="00FE7693">
        <w:rPr>
          <w:rFonts w:ascii="Arial" w:hAnsi="Arial" w:cs="Arial"/>
          <w:color w:val="000000"/>
          <w:sz w:val="20"/>
        </w:rPr>
        <w:t xml:space="preserve"> </w:t>
      </w:r>
      <w:r w:rsidRPr="00FE7693">
        <w:rPr>
          <w:rFonts w:ascii="Arial" w:hAnsi="Arial" w:cs="Arial"/>
          <w:color w:val="212121"/>
          <w:sz w:val="20"/>
        </w:rPr>
        <w:t>áp dụng cho người Châu Á</w:t>
      </w:r>
    </w:p>
    <w:tbl>
      <w:tblPr>
        <w:tblW w:w="5000" w:type="pct"/>
        <w:tblCellMar>
          <w:left w:w="0" w:type="dxa"/>
          <w:right w:w="0" w:type="dxa"/>
        </w:tblCellMar>
        <w:tblLook w:val="0000" w:firstRow="0" w:lastRow="0" w:firstColumn="0" w:lastColumn="0" w:noHBand="0" w:noVBand="0"/>
      </w:tblPr>
      <w:tblGrid>
        <w:gridCol w:w="5142"/>
        <w:gridCol w:w="3488"/>
      </w:tblGrid>
      <w:tr w:rsidR="00766084" w:rsidRPr="00FE7693" w14:paraId="16297119" w14:textId="77777777">
        <w:tblPrEx>
          <w:tblCellMar>
            <w:top w:w="0" w:type="dxa"/>
            <w:left w:w="0" w:type="dxa"/>
            <w:bottom w:w="0" w:type="dxa"/>
            <w:right w:w="0" w:type="dxa"/>
          </w:tblCellMar>
        </w:tblPrEx>
        <w:tc>
          <w:tcPr>
            <w:tcW w:w="2979" w:type="pct"/>
            <w:tcBorders>
              <w:top w:val="single" w:sz="4" w:space="0" w:color="000000"/>
              <w:left w:val="single" w:sz="4" w:space="0" w:color="000000"/>
              <w:bottom w:val="single" w:sz="4" w:space="0" w:color="000000"/>
              <w:right w:val="single" w:sz="4" w:space="0" w:color="000000"/>
            </w:tcBorders>
            <w:vAlign w:val="center"/>
          </w:tcPr>
          <w:p w14:paraId="58402090"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BMI (kg/</w:t>
            </w:r>
            <w:r w:rsidR="00940AB7" w:rsidRPr="00FE7693">
              <w:rPr>
                <w:rFonts w:ascii="Arial" w:hAnsi="Arial" w:cs="Arial"/>
                <w:sz w:val="20"/>
              </w:rPr>
              <w:t>m</w:t>
            </w:r>
            <w:r w:rsidR="00940AB7" w:rsidRPr="00FE7693">
              <w:rPr>
                <w:rFonts w:ascii="Arial" w:hAnsi="Arial" w:cs="Arial"/>
                <w:sz w:val="20"/>
                <w:vertAlign w:val="superscript"/>
              </w:rPr>
              <w:t>2</w:t>
            </w:r>
            <w:r w:rsidRPr="00FE7693">
              <w:rPr>
                <w:rFonts w:ascii="Arial" w:hAnsi="Arial" w:cs="Arial"/>
                <w:sz w:val="20"/>
              </w:rPr>
              <w:t>)</w:t>
            </w:r>
          </w:p>
        </w:tc>
        <w:tc>
          <w:tcPr>
            <w:tcW w:w="2021" w:type="pct"/>
            <w:tcBorders>
              <w:top w:val="single" w:sz="4" w:space="0" w:color="000000"/>
              <w:left w:val="single" w:sz="4" w:space="0" w:color="000000"/>
              <w:bottom w:val="single" w:sz="4" w:space="0" w:color="000000"/>
              <w:right w:val="single" w:sz="4" w:space="0" w:color="000000"/>
            </w:tcBorders>
            <w:vAlign w:val="center"/>
          </w:tcPr>
          <w:p w14:paraId="2F2E16B2"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Phân loại</w:t>
            </w:r>
          </w:p>
        </w:tc>
      </w:tr>
      <w:tr w:rsidR="00766084" w:rsidRPr="00FE7693" w14:paraId="209F759B" w14:textId="77777777">
        <w:tblPrEx>
          <w:tblCellMar>
            <w:top w:w="0" w:type="dxa"/>
            <w:left w:w="0" w:type="dxa"/>
            <w:bottom w:w="0" w:type="dxa"/>
            <w:right w:w="0" w:type="dxa"/>
          </w:tblCellMar>
        </w:tblPrEx>
        <w:tc>
          <w:tcPr>
            <w:tcW w:w="2979" w:type="pct"/>
            <w:tcBorders>
              <w:top w:val="single" w:sz="4" w:space="0" w:color="000000"/>
              <w:left w:val="single" w:sz="4" w:space="0" w:color="000000"/>
              <w:bottom w:val="single" w:sz="4" w:space="0" w:color="000000"/>
              <w:right w:val="single" w:sz="4" w:space="0" w:color="000000"/>
            </w:tcBorders>
            <w:vAlign w:val="center"/>
          </w:tcPr>
          <w:p w14:paraId="4EE49C0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&lt; 18,5</w:t>
            </w:r>
          </w:p>
        </w:tc>
        <w:tc>
          <w:tcPr>
            <w:tcW w:w="2021" w:type="pct"/>
            <w:tcBorders>
              <w:top w:val="single" w:sz="4" w:space="0" w:color="000000"/>
              <w:left w:val="single" w:sz="4" w:space="0" w:color="000000"/>
              <w:bottom w:val="single" w:sz="4" w:space="0" w:color="000000"/>
              <w:right w:val="single" w:sz="4" w:space="0" w:color="000000"/>
            </w:tcBorders>
            <w:vAlign w:val="center"/>
          </w:tcPr>
          <w:p w14:paraId="3342B17A"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Thiếu cân</w:t>
            </w:r>
          </w:p>
        </w:tc>
      </w:tr>
      <w:tr w:rsidR="00766084" w:rsidRPr="00FE7693" w14:paraId="2E9060D7" w14:textId="77777777">
        <w:tblPrEx>
          <w:tblCellMar>
            <w:top w:w="0" w:type="dxa"/>
            <w:left w:w="0" w:type="dxa"/>
            <w:bottom w:w="0" w:type="dxa"/>
            <w:right w:w="0" w:type="dxa"/>
          </w:tblCellMar>
        </w:tblPrEx>
        <w:tc>
          <w:tcPr>
            <w:tcW w:w="2979" w:type="pct"/>
            <w:tcBorders>
              <w:top w:val="single" w:sz="4" w:space="0" w:color="000000"/>
              <w:left w:val="single" w:sz="4" w:space="0" w:color="000000"/>
              <w:bottom w:val="single" w:sz="4" w:space="0" w:color="000000"/>
              <w:right w:val="single" w:sz="4" w:space="0" w:color="000000"/>
            </w:tcBorders>
            <w:vAlign w:val="center"/>
          </w:tcPr>
          <w:p w14:paraId="206F7E72"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18,5 </w:t>
            </w:r>
            <w:r w:rsidR="001F364C" w:rsidRPr="00FE7693">
              <w:rPr>
                <w:rFonts w:ascii="Arial" w:hAnsi="Arial" w:cs="Arial"/>
                <w:sz w:val="20"/>
              </w:rPr>
              <w:t>-</w:t>
            </w:r>
            <w:r w:rsidRPr="00FE7693">
              <w:rPr>
                <w:rFonts w:ascii="Arial" w:hAnsi="Arial" w:cs="Arial"/>
                <w:sz w:val="20"/>
              </w:rPr>
              <w:t xml:space="preserve"> 22,9</w:t>
            </w:r>
          </w:p>
        </w:tc>
        <w:tc>
          <w:tcPr>
            <w:tcW w:w="2021" w:type="pct"/>
            <w:tcBorders>
              <w:top w:val="single" w:sz="4" w:space="0" w:color="000000"/>
              <w:left w:val="single" w:sz="4" w:space="0" w:color="000000"/>
              <w:bottom w:val="single" w:sz="4" w:space="0" w:color="000000"/>
              <w:right w:val="single" w:sz="4" w:space="0" w:color="000000"/>
            </w:tcBorders>
            <w:vAlign w:val="center"/>
          </w:tcPr>
          <w:p w14:paraId="7052ABA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Bình thường</w:t>
            </w:r>
          </w:p>
        </w:tc>
      </w:tr>
      <w:tr w:rsidR="00766084" w:rsidRPr="00FE7693" w14:paraId="07889478" w14:textId="77777777">
        <w:tblPrEx>
          <w:tblCellMar>
            <w:top w:w="0" w:type="dxa"/>
            <w:left w:w="0" w:type="dxa"/>
            <w:bottom w:w="0" w:type="dxa"/>
            <w:right w:w="0" w:type="dxa"/>
          </w:tblCellMar>
        </w:tblPrEx>
        <w:tc>
          <w:tcPr>
            <w:tcW w:w="2979" w:type="pct"/>
            <w:tcBorders>
              <w:top w:val="single" w:sz="4" w:space="0" w:color="000000"/>
              <w:left w:val="single" w:sz="4" w:space="0" w:color="000000"/>
              <w:bottom w:val="single" w:sz="4" w:space="0" w:color="000000"/>
              <w:right w:val="single" w:sz="4" w:space="0" w:color="000000"/>
            </w:tcBorders>
            <w:vAlign w:val="center"/>
          </w:tcPr>
          <w:p w14:paraId="73DFE80D"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23-24,9</w:t>
            </w:r>
          </w:p>
        </w:tc>
        <w:tc>
          <w:tcPr>
            <w:tcW w:w="2021" w:type="pct"/>
            <w:tcBorders>
              <w:top w:val="single" w:sz="4" w:space="0" w:color="000000"/>
              <w:left w:val="single" w:sz="4" w:space="0" w:color="000000"/>
              <w:bottom w:val="single" w:sz="4" w:space="0" w:color="000000"/>
              <w:right w:val="single" w:sz="4" w:space="0" w:color="000000"/>
            </w:tcBorders>
            <w:vAlign w:val="center"/>
          </w:tcPr>
          <w:p w14:paraId="6FD633A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Thừa cân</w:t>
            </w:r>
          </w:p>
        </w:tc>
      </w:tr>
      <w:tr w:rsidR="00766084" w:rsidRPr="00FE7693" w14:paraId="1DFD34B1" w14:textId="77777777">
        <w:tblPrEx>
          <w:tblCellMar>
            <w:top w:w="0" w:type="dxa"/>
            <w:left w:w="0" w:type="dxa"/>
            <w:bottom w:w="0" w:type="dxa"/>
            <w:right w:w="0" w:type="dxa"/>
          </w:tblCellMar>
        </w:tblPrEx>
        <w:tc>
          <w:tcPr>
            <w:tcW w:w="2979" w:type="pct"/>
            <w:tcBorders>
              <w:top w:val="single" w:sz="4" w:space="0" w:color="000000"/>
              <w:left w:val="single" w:sz="4" w:space="0" w:color="000000"/>
              <w:bottom w:val="single" w:sz="4" w:space="0" w:color="000000"/>
              <w:right w:val="single" w:sz="4" w:space="0" w:color="000000"/>
            </w:tcBorders>
            <w:vAlign w:val="center"/>
          </w:tcPr>
          <w:p w14:paraId="1DB46A61"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25 - 29,9</w:t>
            </w:r>
          </w:p>
        </w:tc>
        <w:tc>
          <w:tcPr>
            <w:tcW w:w="2021" w:type="pct"/>
            <w:tcBorders>
              <w:top w:val="single" w:sz="4" w:space="0" w:color="000000"/>
              <w:left w:val="single" w:sz="4" w:space="0" w:color="000000"/>
              <w:bottom w:val="single" w:sz="4" w:space="0" w:color="000000"/>
              <w:right w:val="single" w:sz="4" w:space="0" w:color="000000"/>
            </w:tcBorders>
            <w:vAlign w:val="center"/>
          </w:tcPr>
          <w:p w14:paraId="2D61DA37"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Béo phì độ I</w:t>
            </w:r>
          </w:p>
        </w:tc>
      </w:tr>
      <w:tr w:rsidR="00766084" w:rsidRPr="00FE7693" w14:paraId="5BD16385" w14:textId="77777777">
        <w:tblPrEx>
          <w:tblCellMar>
            <w:top w:w="0" w:type="dxa"/>
            <w:left w:w="0" w:type="dxa"/>
            <w:bottom w:w="0" w:type="dxa"/>
            <w:right w:w="0" w:type="dxa"/>
          </w:tblCellMar>
        </w:tblPrEx>
        <w:tc>
          <w:tcPr>
            <w:tcW w:w="2979" w:type="pct"/>
            <w:tcBorders>
              <w:top w:val="single" w:sz="4" w:space="0" w:color="000000"/>
              <w:left w:val="single" w:sz="4" w:space="0" w:color="000000"/>
              <w:bottom w:val="single" w:sz="4" w:space="0" w:color="000000"/>
              <w:right w:val="single" w:sz="4" w:space="0" w:color="000000"/>
            </w:tcBorders>
            <w:vAlign w:val="center"/>
          </w:tcPr>
          <w:p w14:paraId="15DB336F"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 30</w:t>
            </w:r>
          </w:p>
        </w:tc>
        <w:tc>
          <w:tcPr>
            <w:tcW w:w="2021" w:type="pct"/>
            <w:tcBorders>
              <w:top w:val="single" w:sz="4" w:space="0" w:color="000000"/>
              <w:left w:val="single" w:sz="4" w:space="0" w:color="000000"/>
              <w:bottom w:val="single" w:sz="4" w:space="0" w:color="000000"/>
              <w:right w:val="single" w:sz="4" w:space="0" w:color="000000"/>
            </w:tcBorders>
            <w:vAlign w:val="center"/>
          </w:tcPr>
          <w:p w14:paraId="1550E79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Béo phì độ II</w:t>
            </w:r>
          </w:p>
        </w:tc>
      </w:tr>
    </w:tbl>
    <w:p w14:paraId="0AE3D317"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4.2.</w:t>
      </w:r>
      <w:r w:rsidR="001F364C" w:rsidRPr="00FE7693">
        <w:rPr>
          <w:rFonts w:ascii="Arial" w:hAnsi="Arial" w:cs="Arial"/>
          <w:b/>
          <w:sz w:val="20"/>
        </w:rPr>
        <w:t xml:space="preserve"> </w:t>
      </w:r>
      <w:r w:rsidRPr="00FE7693">
        <w:rPr>
          <w:rFonts w:ascii="Arial" w:hAnsi="Arial" w:cs="Arial"/>
          <w:b/>
          <w:sz w:val="20"/>
        </w:rPr>
        <w:t>Vòng bụng</w:t>
      </w:r>
    </w:p>
    <w:p w14:paraId="6125D0CD"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Dụng cụ sử dụng thước dây chia vạch do Việt Nam sản xuất đạt tiêu chuẩn của Cục đo lường Việt Nam.</w:t>
      </w:r>
    </w:p>
    <w:p w14:paraId="02C83233"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Cách đo: Bệnh nhân đứng thẳng hai chân, hai bàn chân cách nhau 10cm, trọng lượng cơ thể đều trên hai chân, bộc lộ vùng đo, cho bệnh nhân thở đều đặn, đo lúc thở ra nhẹ, tránh co cơ.</w:t>
      </w:r>
    </w:p>
    <w:p w14:paraId="553A8D51"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Vòng bụng: được đo ngang qua đường giữa bờ trên xương chậu và bờ dưới xương sườn cuối cùng. Sai số không quá 0,1 cm. Kết quả tính bằng centi mét (cm).</w:t>
      </w:r>
    </w:p>
    <w:p w14:paraId="424C3E82"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Đánh giá kết quả: béo phì dạng nam (béo phì phần trên cơ thể, béo phì kiểu bụng, béo phì hình quả táo, béo phì trung tâm) khi vòng bụng ≥ 90 cm ở nam và</w:t>
      </w:r>
      <w:r w:rsidR="001F364C" w:rsidRPr="00FE7693">
        <w:rPr>
          <w:rFonts w:ascii="Arial" w:hAnsi="Arial" w:cs="Arial"/>
          <w:sz w:val="20"/>
        </w:rPr>
        <w:t xml:space="preserve"> </w:t>
      </w:r>
      <w:r w:rsidRPr="00FE7693">
        <w:rPr>
          <w:rFonts w:ascii="Arial" w:hAnsi="Arial" w:cs="Arial"/>
          <w:sz w:val="20"/>
        </w:rPr>
        <w:t>≥80 cm ở nữ. (Theo Bộ Y tế và Hội Nội tiết &amp; Đái tháo đường Việt Nam).</w:t>
      </w:r>
    </w:p>
    <w:p w14:paraId="0206E928"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4.3.</w:t>
      </w:r>
      <w:r w:rsidR="001F364C" w:rsidRPr="00FE7693">
        <w:rPr>
          <w:rFonts w:ascii="Arial" w:hAnsi="Arial" w:cs="Arial"/>
          <w:b/>
          <w:sz w:val="20"/>
        </w:rPr>
        <w:t xml:space="preserve"> </w:t>
      </w:r>
      <w:r w:rsidRPr="00FE7693">
        <w:rPr>
          <w:rFonts w:ascii="Arial" w:hAnsi="Arial" w:cs="Arial"/>
          <w:b/>
          <w:sz w:val="20"/>
        </w:rPr>
        <w:t>Phương</w:t>
      </w:r>
      <w:r w:rsidR="001F364C" w:rsidRPr="00FE7693">
        <w:rPr>
          <w:rFonts w:ascii="Arial" w:hAnsi="Arial" w:cs="Arial"/>
          <w:b/>
          <w:sz w:val="20"/>
        </w:rPr>
        <w:t xml:space="preserve"> </w:t>
      </w:r>
      <w:r w:rsidRPr="00FE7693">
        <w:rPr>
          <w:rFonts w:ascii="Arial" w:hAnsi="Arial" w:cs="Arial"/>
          <w:b/>
          <w:sz w:val="20"/>
        </w:rPr>
        <w:t>pháp</w:t>
      </w:r>
      <w:r w:rsidR="001F364C" w:rsidRPr="00FE7693">
        <w:rPr>
          <w:rFonts w:ascii="Arial" w:hAnsi="Arial" w:cs="Arial"/>
          <w:b/>
          <w:sz w:val="20"/>
        </w:rPr>
        <w:t xml:space="preserve"> </w:t>
      </w:r>
      <w:r w:rsidRPr="00FE7693">
        <w:rPr>
          <w:rFonts w:ascii="Arial" w:hAnsi="Arial" w:cs="Arial"/>
          <w:b/>
          <w:sz w:val="20"/>
        </w:rPr>
        <w:t>DEXA hấp thụ năng lượng kép</w:t>
      </w:r>
    </w:p>
    <w:p w14:paraId="5E2B548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Phương pháp hấp thụ năng lượng kép được xem là “tiêu chuẩn vàng” để đánh giá lượng mỡ cơ thể. DEXA đã được sử dụng rộng rãi để nghiên cứu quá trình khử khoáng xương (bone demineralization) và loãng xương và thể hiện một tiến bộ đáng kể trong đánh giá lượng mỡ cơ thể vì nó dễ sử dụng trong các môi trường lâm sàng và độ chính xác cao hơn giúp phân biệt mô nạc và mỡ so với các phương pháp trước đó như đo kháng lực dưới nước toàn thân (hydrodensitometry). DEXA định nghĩa một công nghệ theo đó sự suy giảm bức xạ ở 2 năng lượng được sử dụng để xác định 2 thành phần của mô suy giảm, hoặc xương và mô mềm hoặc mô nạc và mỡ. Nhiều chuyên gia cho rằng DEXA là một trong những "tiêu chuẩn vàng" để đánh giá mỡ cơ thể.</w:t>
      </w:r>
    </w:p>
    <w:p w14:paraId="3F56DDAB"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Các nghiên cứu có giá trị đã chỉ ra rằng đánh giá lượng mỡ cơ thể của DEXA thường so sánh tốt với mô hình 4 ngăn trong đó lượng mỡ cơ thể được ước tính từ các phép đo mật độ cơ thể</w:t>
      </w:r>
      <w:r w:rsidR="001F364C" w:rsidRPr="00FE7693">
        <w:rPr>
          <w:rFonts w:ascii="Arial" w:hAnsi="Arial" w:cs="Arial"/>
          <w:sz w:val="20"/>
        </w:rPr>
        <w:t xml:space="preserve"> </w:t>
      </w:r>
      <w:r w:rsidRPr="00FE7693">
        <w:rPr>
          <w:rFonts w:ascii="Arial" w:hAnsi="Arial" w:cs="Arial"/>
          <w:sz w:val="20"/>
        </w:rPr>
        <w:t>như đo kháng lực dưới nước (hydrodensitometry), tổng lượng nước toàn cơ thể (thường bằng cách pha loãng deuterium) và các giá trị độ khoáng xương bằng DEXA. Tuy nhiên, các nghiên cứu cho thấy DEXA có thể đánh giá thấp lượng mỡ cơ thể ở người có tỷ lệ mỡ cơ thể thấp và đánh giá quá cao lượng mỡ cơ thể ở người tỷ lệ mỡ cơ thể cao hơn ở cả người lớn và trẻ em.</w:t>
      </w:r>
    </w:p>
    <w:p w14:paraId="0282C80F"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Gần đây, DEXA đã được sử dụng để đánh giá sự phân bố mỡ trong cơ thể trong từng vùng. Mỡ bụng thường được đo giữa thân đốt sống L1 và L4 trên hình ảnh chụp DEXA. Nghiên cứu đã chỉ ra rằng khối lượng mỡ bụng được đo bằng DEXA và CT có mối tương quan cao, mặc dù DEXA đánh giá thấp một cách có hệ thống khối lượng mỡ bụng đo được trên CT. 256 Tuy nhiên, DEXA không thể phân biệt mỡ dưới da với mỡ nội tạng.</w:t>
      </w:r>
    </w:p>
    <w:p w14:paraId="6E41A03E"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Đánh giá mỡ cơ thể của DEXA đòi hỏi rất ít bức xạ (1 μSv), vì vậy cho phép đo lặp đi lặp lại thích hợp sử dụng trong môi trường lâm sàng. Quá trình đo bằng DEXA cũng rất nhanh chóng và dễ dàng, áp dụng cho cả người khỏe mạnh và người bệnh. Đánh giá lượng mỡ cơ thể của DEXA đòi hỏi các thiết bị chuyên dụng có chi phí vừa phải nhưng không quá lớn để dễ dàng trang bị trong một phòng khám béo phì. DEXA là một công cụ thích hợp để đo lường thành phần mỡ cơ thể và sự phân phối mỡ nhưng được dành riêng cho mục đích nghiên cứu tại thời điểm hiện tại cho đến khi có thêm dữ liệu về dự đoán nguy cơ và hiệu quả chi phí.</w:t>
      </w:r>
    </w:p>
    <w:p w14:paraId="66AD5E96" w14:textId="77777777" w:rsidR="00766084" w:rsidRPr="00FE7693" w:rsidRDefault="007E63C9" w:rsidP="00FE7693">
      <w:pPr>
        <w:widowControl w:val="0"/>
        <w:autoSpaceDE w:val="0"/>
        <w:autoSpaceDN w:val="0"/>
        <w:adjustRightInd w:val="0"/>
        <w:spacing w:before="120"/>
        <w:rPr>
          <w:rFonts w:ascii="Arial" w:hAnsi="Arial" w:cs="Arial"/>
          <w:b/>
          <w:sz w:val="20"/>
        </w:rPr>
      </w:pPr>
      <w:r w:rsidRPr="00FE7693">
        <w:rPr>
          <w:rFonts w:ascii="Arial" w:hAnsi="Arial" w:cs="Arial"/>
          <w:b/>
          <w:sz w:val="20"/>
        </w:rPr>
        <w:t>5. CÁC DẠNG BÉO PHÌ</w:t>
      </w:r>
    </w:p>
    <w:p w14:paraId="24129F33"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5.1.</w:t>
      </w:r>
      <w:r w:rsidR="001F364C" w:rsidRPr="00FE7693">
        <w:rPr>
          <w:rFonts w:ascii="Arial" w:hAnsi="Arial" w:cs="Arial"/>
          <w:b/>
          <w:sz w:val="20"/>
        </w:rPr>
        <w:t xml:space="preserve"> </w:t>
      </w:r>
      <w:r w:rsidRPr="00FE7693">
        <w:rPr>
          <w:rFonts w:ascii="Arial" w:hAnsi="Arial" w:cs="Arial"/>
          <w:b/>
          <w:sz w:val="20"/>
        </w:rPr>
        <w:t>Béo phì dạng nam (béo phì phần</w:t>
      </w:r>
      <w:r w:rsidR="001F364C" w:rsidRPr="00FE7693">
        <w:rPr>
          <w:rFonts w:ascii="Arial" w:hAnsi="Arial" w:cs="Arial"/>
          <w:b/>
          <w:sz w:val="20"/>
        </w:rPr>
        <w:t xml:space="preserve"> </w:t>
      </w:r>
      <w:r w:rsidRPr="00FE7693">
        <w:rPr>
          <w:rFonts w:ascii="Arial" w:hAnsi="Arial" w:cs="Arial"/>
          <w:b/>
          <w:sz w:val="20"/>
        </w:rPr>
        <w:t>trên cơ thể, béo phì kiểu bụng, béo phì hình quả táo, béo phì trung tâm)</w:t>
      </w:r>
    </w:p>
    <w:p w14:paraId="797220EB"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Mỡ phân bố nhiều ở bụng, thân, vai, cánh tay, cổ, mặt. Vẻ mặt hồng hào</w:t>
      </w:r>
    </w:p>
    <w:p w14:paraId="2A65DCD2"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Cơ vẫn phát triển khác với hội chứng Cushing</w:t>
      </w:r>
    </w:p>
    <w:p w14:paraId="20D52B19"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Dạng béo phì này thường xảy ra ở người ăn nhiều.</w:t>
      </w:r>
    </w:p>
    <w:p w14:paraId="2CE32A83"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Béo phì dạng nam thường dễ dẫn đến các biến chứng về chuyển hóa như hội chứng chuyển hóa, tiền đái tháo đường,đái tháo đường típ 2, bệnh gút, bệnh tim, tăng huyết áp, bệnh túi mật, ung thư vú,</w:t>
      </w:r>
      <w:r w:rsidR="00940AB7" w:rsidRPr="00FE7693">
        <w:rPr>
          <w:rFonts w:ascii="Arial" w:hAnsi="Arial" w:cs="Arial"/>
          <w:sz w:val="20"/>
        </w:rPr>
        <w:t>…</w:t>
      </w:r>
    </w:p>
    <w:p w14:paraId="21E2A18F"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5.2.</w:t>
      </w:r>
      <w:r w:rsidR="001F364C" w:rsidRPr="00FE7693">
        <w:rPr>
          <w:rFonts w:ascii="Arial" w:hAnsi="Arial" w:cs="Arial"/>
          <w:b/>
          <w:sz w:val="20"/>
        </w:rPr>
        <w:t xml:space="preserve"> </w:t>
      </w:r>
      <w:r w:rsidRPr="00FE7693">
        <w:rPr>
          <w:rFonts w:ascii="Arial" w:hAnsi="Arial" w:cs="Arial"/>
          <w:b/>
          <w:sz w:val="20"/>
        </w:rPr>
        <w:t>Béo phì dạng nữ (béo phì phần dưới cơ thể, béo phì hình quả lê)</w:t>
      </w:r>
    </w:p>
    <w:p w14:paraId="0E5CA6BF"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Mỡ phân bố chủ yếu ở phần dưới của cơ thể (khung chậu, vùng thắt lưng, mông, đùi)</w:t>
      </w:r>
    </w:p>
    <w:p w14:paraId="13759EEB"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Da xanh</w:t>
      </w:r>
    </w:p>
    <w:p w14:paraId="225E5352"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Cơ ít phát triển</w:t>
      </w:r>
    </w:p>
    <w:p w14:paraId="17AF423D"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Thường bị suy nhược</w:t>
      </w:r>
    </w:p>
    <w:p w14:paraId="398CE2A5"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Thường kèm suy tĩnh mạch, rối loạn kinh nguyệt ở nữ</w:t>
      </w:r>
    </w:p>
    <w:p w14:paraId="6CDFAE87"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5.3.</w:t>
      </w:r>
      <w:r w:rsidR="001F364C" w:rsidRPr="00FE7693">
        <w:rPr>
          <w:rFonts w:ascii="Arial" w:hAnsi="Arial" w:cs="Arial"/>
          <w:b/>
          <w:sz w:val="20"/>
        </w:rPr>
        <w:t xml:space="preserve"> </w:t>
      </w:r>
      <w:r w:rsidRPr="00FE7693">
        <w:rPr>
          <w:rFonts w:ascii="Arial" w:hAnsi="Arial" w:cs="Arial"/>
          <w:b/>
          <w:sz w:val="20"/>
        </w:rPr>
        <w:t>Béo phì hỗn hợp</w:t>
      </w:r>
    </w:p>
    <w:p w14:paraId="5C37620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Mỡ phân bố khá đồng đều. Các trường hợp quá béo phì thường là béo phì hỗn hợp.</w:t>
      </w:r>
    </w:p>
    <w:p w14:paraId="53B8C9D0" w14:textId="77777777" w:rsidR="00766084" w:rsidRPr="00FE7693" w:rsidRDefault="00940AB7" w:rsidP="00FE7693">
      <w:pPr>
        <w:widowControl w:val="0"/>
        <w:autoSpaceDE w:val="0"/>
        <w:autoSpaceDN w:val="0"/>
        <w:adjustRightInd w:val="0"/>
        <w:spacing w:before="120"/>
        <w:rPr>
          <w:rFonts w:ascii="Arial" w:hAnsi="Arial" w:cs="Arial"/>
          <w:b/>
          <w:sz w:val="20"/>
        </w:rPr>
      </w:pPr>
      <w:r w:rsidRPr="00FE7693">
        <w:rPr>
          <w:rFonts w:ascii="Arial" w:hAnsi="Arial" w:cs="Arial"/>
          <w:b/>
          <w:sz w:val="20"/>
        </w:rPr>
        <w:t>6. ĐIỀU TRỊ BÉO PHÌ</w:t>
      </w:r>
    </w:p>
    <w:p w14:paraId="73230288"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6.1.</w:t>
      </w:r>
      <w:r w:rsidR="001F364C" w:rsidRPr="00FE7693">
        <w:rPr>
          <w:rFonts w:ascii="Arial" w:hAnsi="Arial" w:cs="Arial"/>
          <w:b/>
          <w:sz w:val="20"/>
        </w:rPr>
        <w:t xml:space="preserve"> </w:t>
      </w:r>
      <w:r w:rsidRPr="00FE7693">
        <w:rPr>
          <w:rFonts w:ascii="Arial" w:hAnsi="Arial" w:cs="Arial"/>
          <w:b/>
          <w:sz w:val="20"/>
        </w:rPr>
        <w:t>Mục tiêu và nguyên tắc chung</w:t>
      </w:r>
    </w:p>
    <w:p w14:paraId="212510A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6.1.1.</w:t>
      </w:r>
      <w:r w:rsidR="001F364C" w:rsidRPr="00FE7693">
        <w:rPr>
          <w:rFonts w:ascii="Arial" w:hAnsi="Arial" w:cs="Arial"/>
          <w:sz w:val="20"/>
        </w:rPr>
        <w:t xml:space="preserve"> </w:t>
      </w:r>
      <w:r w:rsidRPr="00FE7693">
        <w:rPr>
          <w:rFonts w:ascii="Arial" w:hAnsi="Arial" w:cs="Arial"/>
          <w:sz w:val="20"/>
        </w:rPr>
        <w:t>Mục tiêu</w:t>
      </w:r>
    </w:p>
    <w:p w14:paraId="25FD544D"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Mục tiêu chung: Việc quản lý và điều trị béo phì có mục tiêu rộng hơn là giảm cân đơn thuần mà còn cần giảm nguy cơ các biến chứng và cải thiện sức khỏe. Những điều này có thể đạt được bằng cách giảm cân vừa phải, cải thiện hàm lượng dinh dưỡng trong chế độ ăn uống và kể cả vận động và tập thể dục mức độ trung bình. Điều trị tốt béo phì có thể làm giảm nhu cầu điều trị bệnh đồng mắc. Điều trị thích hợp cho béo phì ngoài việc kiểm soát cân nặng nên bao gồm điều trị các biến chứng: quản lý rối loạn lipid máu, tối ưu hóa kiểm soát đường huyết ở bệnh nhân đái tháo đường típ 2, điều trị tăng huyết áp, quản lý rối loạn hô hấp (như hội chứng ngưng thở khi ngủ), chú ý đến kiểm soát cơn đau và nhu cầu vận động trong viêm khớp, quản lý rối loạn tâm lý xã hội, bao gồm rối loạn cảm xúc, rối loạn ăn uống và giảm lòng tự trọng, và suy nghĩ tiêu cực về hình ảnh cơ thể. Bối cảnh kinh tế xã hội của bệnh nhân cũng cần được tính đến trong việc thiết lập chiến lược điều trị.</w:t>
      </w:r>
    </w:p>
    <w:p w14:paraId="0297E232"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Mục tiêu giảm cân thực tế: Giảm cân 5</w:t>
      </w:r>
      <w:r w:rsidR="001F364C" w:rsidRPr="00FE7693">
        <w:rPr>
          <w:rFonts w:ascii="Arial" w:hAnsi="Arial" w:cs="Arial"/>
          <w:sz w:val="20"/>
        </w:rPr>
        <w:t>-</w:t>
      </w:r>
      <w:r w:rsidR="00766084" w:rsidRPr="00FE7693">
        <w:rPr>
          <w:rFonts w:ascii="Arial" w:hAnsi="Arial" w:cs="Arial"/>
          <w:sz w:val="20"/>
        </w:rPr>
        <w:t>15% trong khoảng thời gian 6 tháng là thực tế và đã được chứng minh mang lại lợi ích sức khỏe. Có thể cân nhắc g</w:t>
      </w:r>
      <w:r w:rsidRPr="00FE7693">
        <w:rPr>
          <w:rFonts w:ascii="Arial" w:hAnsi="Arial" w:cs="Arial"/>
          <w:sz w:val="20"/>
        </w:rPr>
        <w:t xml:space="preserve">iảm cân nhiều hơn (20% trở lên) </w:t>
      </w:r>
      <w:r w:rsidR="00766084" w:rsidRPr="00FE7693">
        <w:rPr>
          <w:rFonts w:ascii="Arial" w:hAnsi="Arial" w:cs="Arial"/>
          <w:sz w:val="20"/>
        </w:rPr>
        <w:t>đối với những người có mức độ béo phì cao hơn (BMI ≥ 35 kg/</w:t>
      </w:r>
      <w:r w:rsidRPr="00FE7693">
        <w:rPr>
          <w:rFonts w:ascii="Arial" w:hAnsi="Arial" w:cs="Arial"/>
          <w:sz w:val="20"/>
        </w:rPr>
        <w:t>m</w:t>
      </w:r>
      <w:r w:rsidRPr="00FE7693">
        <w:rPr>
          <w:rFonts w:ascii="Arial" w:hAnsi="Arial" w:cs="Arial"/>
          <w:sz w:val="20"/>
          <w:vertAlign w:val="superscript"/>
        </w:rPr>
        <w:t>2</w:t>
      </w:r>
      <w:r w:rsidR="00766084" w:rsidRPr="00FE7693">
        <w:rPr>
          <w:rFonts w:ascii="Arial" w:hAnsi="Arial" w:cs="Arial"/>
          <w:sz w:val="20"/>
        </w:rPr>
        <w:t>). Duy trì giảm cân và phòng ngừa và điều trị các bệnh đồng mắc là hai tiêu chí chính để thành công.</w:t>
      </w:r>
    </w:p>
    <w:p w14:paraId="17CD51F0"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Theo dõi người bệnh: Béo phì là một bệnh mạn tính. Người bệnh cần được theo dõi và tái khám thường xuyên để ngăn ngừa tăng cân trở lại và để theo dõi nguy cơ bệnh tật cũng như điều trị các bệnh đồng mắc nếu xuất hiện (ví dụ: đái tháo đường típ 2, bệnh tim mạch).</w:t>
      </w:r>
    </w:p>
    <w:p w14:paraId="3ACD1964"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6.1.2. Nguyên tắc chung</w:t>
      </w:r>
    </w:p>
    <w:p w14:paraId="6953DA75"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Can thiệp lối sống là nền tảng đảm bảo duy trì giảm cân bền vững, an toàn bao gồm các biện pháp can thiệp dinh dưỡng, tập luyện thể lực, thay đổi hành vi, hỗ trợ tâm lý.</w:t>
      </w:r>
    </w:p>
    <w:p w14:paraId="50F09F22" w14:textId="77777777" w:rsidR="00766084" w:rsidRPr="00FE7693" w:rsidRDefault="00940A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Điều trị bằng thuốc khi can thiệp lối sống trong 3 tháng không giúp giảm được 5%</w:t>
      </w:r>
      <w:r w:rsidRPr="00FE7693">
        <w:rPr>
          <w:rFonts w:ascii="Arial" w:hAnsi="Arial" w:cs="Arial"/>
          <w:sz w:val="20"/>
        </w:rPr>
        <w:t xml:space="preserve"> </w:t>
      </w:r>
      <w:r w:rsidR="00766084" w:rsidRPr="00FE7693">
        <w:rPr>
          <w:rFonts w:ascii="Arial" w:hAnsi="Arial" w:cs="Arial"/>
          <w:sz w:val="20"/>
        </w:rPr>
        <w:t>cân nặng, người bệnh có BMI ≥ 25 kg/</w:t>
      </w:r>
      <w:r w:rsidRPr="00FE7693">
        <w:rPr>
          <w:rFonts w:ascii="Arial" w:hAnsi="Arial" w:cs="Arial"/>
          <w:sz w:val="20"/>
        </w:rPr>
        <w:t>m</w:t>
      </w:r>
      <w:r w:rsidRPr="00FE7693">
        <w:rPr>
          <w:rFonts w:ascii="Arial" w:hAnsi="Arial" w:cs="Arial"/>
          <w:sz w:val="20"/>
          <w:vertAlign w:val="superscript"/>
        </w:rPr>
        <w:t>2</w:t>
      </w:r>
      <w:r w:rsidR="00766084" w:rsidRPr="00FE7693">
        <w:rPr>
          <w:rFonts w:ascii="Arial" w:hAnsi="Arial" w:cs="Arial"/>
          <w:sz w:val="20"/>
        </w:rPr>
        <w:t>.</w:t>
      </w:r>
    </w:p>
    <w:p w14:paraId="3A15B305"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Phối hợp chặt chẽ của nhiều chuyên khoa để đạt được hiệu quả điều trị và duy trì giảm</w:t>
      </w:r>
      <w:r w:rsidRPr="00FE7693">
        <w:rPr>
          <w:rFonts w:ascii="Arial" w:hAnsi="Arial" w:cs="Arial"/>
          <w:sz w:val="20"/>
        </w:rPr>
        <w:t xml:space="preserve"> </w:t>
      </w:r>
      <w:r w:rsidR="00766084" w:rsidRPr="00FE7693">
        <w:rPr>
          <w:rFonts w:ascii="Arial" w:hAnsi="Arial" w:cs="Arial"/>
          <w:sz w:val="20"/>
        </w:rPr>
        <w:t>cân đạt yêu cầu bền vững.</w:t>
      </w:r>
    </w:p>
    <w:p w14:paraId="6D818E38"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Phối hợp đa chuyên khoa là nền tảng trong mô hình chăm sóc điều trị béo phì: Béo phì là một tình trạng phức tạp có nguồn gốc đa yếu tố. Các yếu tố sinh học mà cả tâm lý và xã hội cùng tác động dẫn đến quá cân và các biến chứng liên quan. Quản lý béo phì không thể chỉ tập trung vào việc giảm cân (và BMI). Quản lý các bệnh đồng mắc, cải thiện chất lượng cuộc sống và sức khỏe của bệnh nhân béo phì cũng được đưa vào mục tiêu điều trị. Quản lý béo phì toàn diện nên được thực hiện bởi một đội ngũ thích hợp gồm nhiều chuyên khoa và bao gồm các chuyên gia khác nhau để có thể giải quyết các khía cạnh khác nhau của béo phì và các rối loạn liên quan. Người bệnh nên hiểu rằng, vì béo phì là một bệnh mãn tính, nên việc quản lý cân nặng sẽ cần phải kéo dài suốt đời.</w:t>
      </w:r>
    </w:p>
    <w:p w14:paraId="1E39FE85"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Xây dựng nhóm các chuyên gia đa chuyên khoa: những bác sĩ được đào tạo đặc biệt về quản lý béo phí, chuyên gia dinh dưỡng, nhà trị liệu hành vi, chuyên gia hướng dẫn vận động thể lực, điều dưỡng về bệnh béo phì, bác sĩ phẫu thuật.</w:t>
      </w:r>
    </w:p>
    <w:p w14:paraId="31E5F7AE" w14:textId="455AD00B" w:rsidR="00766084" w:rsidRPr="00FE7693" w:rsidRDefault="00CC336F" w:rsidP="00FE7693">
      <w:pPr>
        <w:widowControl w:val="0"/>
        <w:autoSpaceDE w:val="0"/>
        <w:autoSpaceDN w:val="0"/>
        <w:adjustRightInd w:val="0"/>
        <w:spacing w:before="120"/>
        <w:rPr>
          <w:rFonts w:ascii="Arial" w:hAnsi="Arial" w:cs="Arial"/>
          <w:sz w:val="20"/>
          <w:szCs w:val="20"/>
        </w:rPr>
      </w:pPr>
      <w:r w:rsidRPr="00FE7693">
        <w:rPr>
          <w:rFonts w:ascii="Arial" w:hAnsi="Arial" w:cs="Arial"/>
          <w:noProof/>
          <w:sz w:val="20"/>
          <w:szCs w:val="22"/>
        </w:rPr>
        <w:drawing>
          <wp:inline distT="0" distB="0" distL="0" distR="0" wp14:anchorId="7C8D2A2E" wp14:editId="23426649">
            <wp:extent cx="5486400" cy="436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4366260"/>
                    </a:xfrm>
                    <a:prstGeom prst="rect">
                      <a:avLst/>
                    </a:prstGeom>
                    <a:noFill/>
                    <a:ln>
                      <a:noFill/>
                    </a:ln>
                  </pic:spPr>
                </pic:pic>
              </a:graphicData>
            </a:graphic>
          </wp:inline>
        </w:drawing>
      </w:r>
    </w:p>
    <w:p w14:paraId="5E5B8D00"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Sơ đồ 6.1. Hướng dẫn theo dõi và điều trị bệnh béo phì</w:t>
      </w:r>
    </w:p>
    <w:p w14:paraId="793D1B14"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6.2.</w:t>
      </w:r>
      <w:r w:rsidR="001F364C" w:rsidRPr="00FE7693">
        <w:rPr>
          <w:rFonts w:ascii="Arial" w:hAnsi="Arial" w:cs="Arial"/>
          <w:b/>
          <w:sz w:val="20"/>
        </w:rPr>
        <w:t xml:space="preserve"> </w:t>
      </w:r>
      <w:r w:rsidRPr="00FE7693">
        <w:rPr>
          <w:rFonts w:ascii="Arial" w:hAnsi="Arial" w:cs="Arial"/>
          <w:b/>
          <w:sz w:val="20"/>
        </w:rPr>
        <w:t>Điều trị cụ thể</w:t>
      </w:r>
    </w:p>
    <w:p w14:paraId="3844C58D"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6.2.1.</w:t>
      </w:r>
      <w:r w:rsidR="001F364C" w:rsidRPr="00FE7693">
        <w:rPr>
          <w:rFonts w:ascii="Arial" w:hAnsi="Arial" w:cs="Arial"/>
          <w:sz w:val="20"/>
        </w:rPr>
        <w:t xml:space="preserve"> </w:t>
      </w:r>
      <w:r w:rsidRPr="00FE7693">
        <w:rPr>
          <w:rFonts w:ascii="Arial" w:hAnsi="Arial" w:cs="Arial"/>
          <w:sz w:val="20"/>
        </w:rPr>
        <w:t>Tiết thực</w:t>
      </w:r>
    </w:p>
    <w:p w14:paraId="415B92A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a.</w:t>
      </w:r>
      <w:r w:rsidR="001F364C" w:rsidRPr="00FE7693">
        <w:rPr>
          <w:rFonts w:ascii="Arial" w:hAnsi="Arial" w:cs="Arial"/>
          <w:sz w:val="20"/>
        </w:rPr>
        <w:t xml:space="preserve"> </w:t>
      </w:r>
      <w:r w:rsidRPr="00FE7693">
        <w:rPr>
          <w:rFonts w:ascii="Arial" w:hAnsi="Arial" w:cs="Arial"/>
          <w:sz w:val="20"/>
        </w:rPr>
        <w:t>Nguyên tắc điều trị tiết thực</w:t>
      </w:r>
    </w:p>
    <w:p w14:paraId="7116081A"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Phải điều trị kiên trì, lâu dài, phối hợp nhiều phương pháp</w:t>
      </w:r>
    </w:p>
    <w:p w14:paraId="7541BBD0"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Phải điều trị tích cực khi có tăng huyết áp, suy tim…</w:t>
      </w:r>
    </w:p>
    <w:p w14:paraId="75CF09D4"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Điều trị phải giảm cân một cách từ từ, bền vững đáp ứng nhu cầu của người bệnh</w:t>
      </w:r>
    </w:p>
    <w:p w14:paraId="22B9002E"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b.</w:t>
      </w:r>
      <w:r w:rsidR="001F364C" w:rsidRPr="00FE7693">
        <w:rPr>
          <w:rFonts w:ascii="Arial" w:hAnsi="Arial" w:cs="Arial"/>
          <w:sz w:val="20"/>
        </w:rPr>
        <w:t xml:space="preserve"> </w:t>
      </w:r>
      <w:r w:rsidRPr="00FE7693">
        <w:rPr>
          <w:rFonts w:ascii="Arial" w:hAnsi="Arial" w:cs="Arial"/>
          <w:sz w:val="20"/>
        </w:rPr>
        <w:t>Chế độ ăn giảm năng lượng</w:t>
      </w:r>
    </w:p>
    <w:p w14:paraId="2E48A96C"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Giảm tổng lượng năng lượng (calo) ăn vào nên là yếu tố chính của bất kỳ can thiệp giảm cân nào.</w:t>
      </w:r>
    </w:p>
    <w:p w14:paraId="34985D5E"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Điều chỉnh hành vi ăn uống cá nhân và phải thay đổi dần dần, cộng với sự hỗ trợ của</w:t>
      </w:r>
      <w:r w:rsidRPr="00FE7693">
        <w:rPr>
          <w:rFonts w:ascii="Arial" w:hAnsi="Arial" w:cs="Arial"/>
          <w:sz w:val="20"/>
        </w:rPr>
        <w:t xml:space="preserve"> </w:t>
      </w:r>
      <w:r w:rsidR="00766084" w:rsidRPr="00FE7693">
        <w:rPr>
          <w:rFonts w:ascii="Arial" w:hAnsi="Arial" w:cs="Arial"/>
          <w:sz w:val="20"/>
        </w:rPr>
        <w:t>gia đình, xã hội, môi trường sống …</w:t>
      </w:r>
    </w:p>
    <w:p w14:paraId="54429D6A"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Chế độ ăn cân đối giữa các chất sinh nhiệt, không quá nhiều glucid, tỷ lệ thay đổi tùy cá thể theo bệnh lý mắc kèm, thói quen ăn uống</w:t>
      </w:r>
    </w:p>
    <w:p w14:paraId="1A9DC32D"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Cung cấp đầy đủ các vitamin cần thiết: vitamin tan trong dầu, kali, sắt, acid amin Hạn chế số bữa ăn trong ngày (3 bữa là đủ), hạn chế ăn loại glucid hấp thu nhanh và các chất béo bão hoà, muối dưới 5g/ngày</w:t>
      </w:r>
    </w:p>
    <w:p w14:paraId="31555CC1" w14:textId="77777777" w:rsidR="00766084" w:rsidRPr="00FE7693" w:rsidRDefault="00D672A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Kiêng rượu</w:t>
      </w:r>
    </w:p>
    <w:p w14:paraId="32D435ED"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Bảng 6.1. Phân bố các chất dinh dưỡng mỗi ngày</w:t>
      </w:r>
    </w:p>
    <w:tbl>
      <w:tblPr>
        <w:tblW w:w="5000" w:type="pct"/>
        <w:tblCellMar>
          <w:left w:w="0" w:type="dxa"/>
          <w:right w:w="0" w:type="dxa"/>
        </w:tblCellMar>
        <w:tblLook w:val="0000" w:firstRow="0" w:lastRow="0" w:firstColumn="0" w:lastColumn="0" w:noHBand="0" w:noVBand="0"/>
      </w:tblPr>
      <w:tblGrid>
        <w:gridCol w:w="4441"/>
        <w:gridCol w:w="4189"/>
      </w:tblGrid>
      <w:tr w:rsidR="00766084" w:rsidRPr="00FE7693" w14:paraId="6641701C" w14:textId="77777777">
        <w:tblPrEx>
          <w:tblCellMar>
            <w:top w:w="0" w:type="dxa"/>
            <w:left w:w="0" w:type="dxa"/>
            <w:bottom w:w="0" w:type="dxa"/>
            <w:right w:w="0" w:type="dxa"/>
          </w:tblCellMar>
        </w:tblPrEx>
        <w:tc>
          <w:tcPr>
            <w:tcW w:w="2573" w:type="pct"/>
            <w:tcBorders>
              <w:top w:val="single" w:sz="4" w:space="0" w:color="000000"/>
              <w:left w:val="single" w:sz="4" w:space="0" w:color="000000"/>
              <w:bottom w:val="single" w:sz="4" w:space="0" w:color="000000"/>
              <w:right w:val="single" w:sz="4" w:space="0" w:color="000000"/>
            </w:tcBorders>
            <w:vAlign w:val="center"/>
          </w:tcPr>
          <w:p w14:paraId="12258876"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Chất dinh dưỡng</w:t>
            </w:r>
          </w:p>
        </w:tc>
        <w:tc>
          <w:tcPr>
            <w:tcW w:w="2427" w:type="pct"/>
            <w:tcBorders>
              <w:top w:val="single" w:sz="4" w:space="0" w:color="000000"/>
              <w:left w:val="single" w:sz="4" w:space="0" w:color="000000"/>
              <w:bottom w:val="single" w:sz="4" w:space="0" w:color="000000"/>
              <w:right w:val="single" w:sz="4" w:space="0" w:color="000000"/>
            </w:tcBorders>
            <w:vAlign w:val="center"/>
          </w:tcPr>
          <w:p w14:paraId="44F0D5A8"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Tỷ lệ phân</w:t>
            </w:r>
            <w:r w:rsidR="001F364C" w:rsidRPr="00FE7693">
              <w:rPr>
                <w:rFonts w:ascii="Arial" w:hAnsi="Arial" w:cs="Arial"/>
                <w:b/>
                <w:sz w:val="20"/>
              </w:rPr>
              <w:t xml:space="preserve"> </w:t>
            </w:r>
            <w:r w:rsidRPr="00FE7693">
              <w:rPr>
                <w:rFonts w:ascii="Arial" w:hAnsi="Arial" w:cs="Arial"/>
                <w:b/>
                <w:sz w:val="20"/>
              </w:rPr>
              <w:t>bố</w:t>
            </w:r>
          </w:p>
        </w:tc>
      </w:tr>
      <w:tr w:rsidR="00766084" w:rsidRPr="00FE7693" w14:paraId="6A31F155" w14:textId="77777777">
        <w:tblPrEx>
          <w:tblCellMar>
            <w:top w:w="0" w:type="dxa"/>
            <w:left w:w="0" w:type="dxa"/>
            <w:bottom w:w="0" w:type="dxa"/>
            <w:right w:w="0" w:type="dxa"/>
          </w:tblCellMar>
        </w:tblPrEx>
        <w:tc>
          <w:tcPr>
            <w:tcW w:w="2573" w:type="pct"/>
            <w:tcBorders>
              <w:top w:val="single" w:sz="4" w:space="0" w:color="000000"/>
              <w:left w:val="single" w:sz="4" w:space="0" w:color="000000"/>
              <w:bottom w:val="single" w:sz="4" w:space="0" w:color="000000"/>
              <w:right w:val="single" w:sz="4" w:space="0" w:color="000000"/>
            </w:tcBorders>
            <w:vAlign w:val="center"/>
          </w:tcPr>
          <w:p w14:paraId="7776D974"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Lipid</w:t>
            </w:r>
          </w:p>
        </w:tc>
        <w:tc>
          <w:tcPr>
            <w:tcW w:w="2427" w:type="pct"/>
            <w:tcBorders>
              <w:top w:val="single" w:sz="4" w:space="0" w:color="000000"/>
              <w:left w:val="single" w:sz="4" w:space="0" w:color="000000"/>
              <w:bottom w:val="single" w:sz="4" w:space="0" w:color="000000"/>
              <w:right w:val="single" w:sz="4" w:space="0" w:color="000000"/>
            </w:tcBorders>
            <w:vAlign w:val="center"/>
          </w:tcPr>
          <w:p w14:paraId="25813DF0"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&lt; 30%</w:t>
            </w:r>
            <w:r w:rsidR="001F364C" w:rsidRPr="00FE7693">
              <w:rPr>
                <w:rFonts w:ascii="Arial" w:hAnsi="Arial" w:cs="Arial"/>
                <w:sz w:val="20"/>
              </w:rPr>
              <w:t xml:space="preserve"> </w:t>
            </w:r>
            <w:r w:rsidRPr="00FE7693">
              <w:rPr>
                <w:rFonts w:ascii="Arial" w:hAnsi="Arial" w:cs="Arial"/>
                <w:sz w:val="20"/>
              </w:rPr>
              <w:t>tổng calori</w:t>
            </w:r>
          </w:p>
        </w:tc>
      </w:tr>
      <w:tr w:rsidR="00766084" w:rsidRPr="00FE7693" w14:paraId="5DAD3E37" w14:textId="77777777">
        <w:tblPrEx>
          <w:tblCellMar>
            <w:top w:w="0" w:type="dxa"/>
            <w:left w:w="0" w:type="dxa"/>
            <w:bottom w:w="0" w:type="dxa"/>
            <w:right w:w="0" w:type="dxa"/>
          </w:tblCellMar>
        </w:tblPrEx>
        <w:tc>
          <w:tcPr>
            <w:tcW w:w="2573" w:type="pct"/>
            <w:tcBorders>
              <w:top w:val="single" w:sz="4" w:space="0" w:color="000000"/>
              <w:left w:val="single" w:sz="4" w:space="0" w:color="000000"/>
              <w:bottom w:val="single" w:sz="4" w:space="0" w:color="000000"/>
              <w:right w:val="single" w:sz="4" w:space="0" w:color="000000"/>
            </w:tcBorders>
            <w:vAlign w:val="center"/>
          </w:tcPr>
          <w:p w14:paraId="19043F3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Protid</w:t>
            </w:r>
          </w:p>
        </w:tc>
        <w:tc>
          <w:tcPr>
            <w:tcW w:w="2427" w:type="pct"/>
            <w:tcBorders>
              <w:top w:val="single" w:sz="4" w:space="0" w:color="000000"/>
              <w:left w:val="single" w:sz="4" w:space="0" w:color="000000"/>
              <w:bottom w:val="single" w:sz="4" w:space="0" w:color="000000"/>
              <w:right w:val="single" w:sz="4" w:space="0" w:color="000000"/>
            </w:tcBorders>
            <w:vAlign w:val="center"/>
          </w:tcPr>
          <w:p w14:paraId="52FA0C0D"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15 - &lt;20% tổng calori</w:t>
            </w:r>
          </w:p>
        </w:tc>
      </w:tr>
      <w:tr w:rsidR="00766084" w:rsidRPr="00FE7693" w14:paraId="5A161103" w14:textId="77777777">
        <w:tblPrEx>
          <w:tblCellMar>
            <w:top w:w="0" w:type="dxa"/>
            <w:left w:w="0" w:type="dxa"/>
            <w:bottom w:w="0" w:type="dxa"/>
            <w:right w:w="0" w:type="dxa"/>
          </w:tblCellMar>
        </w:tblPrEx>
        <w:tc>
          <w:tcPr>
            <w:tcW w:w="2573" w:type="pct"/>
            <w:tcBorders>
              <w:top w:val="single" w:sz="4" w:space="0" w:color="000000"/>
              <w:left w:val="single" w:sz="4" w:space="0" w:color="000000"/>
              <w:bottom w:val="single" w:sz="4" w:space="0" w:color="000000"/>
              <w:right w:val="single" w:sz="4" w:space="0" w:color="000000"/>
            </w:tcBorders>
            <w:vAlign w:val="center"/>
          </w:tcPr>
          <w:p w14:paraId="5A38A89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Glucid</w:t>
            </w:r>
          </w:p>
        </w:tc>
        <w:tc>
          <w:tcPr>
            <w:tcW w:w="2427" w:type="pct"/>
            <w:tcBorders>
              <w:top w:val="single" w:sz="4" w:space="0" w:color="000000"/>
              <w:left w:val="single" w:sz="4" w:space="0" w:color="000000"/>
              <w:bottom w:val="single" w:sz="4" w:space="0" w:color="000000"/>
              <w:right w:val="single" w:sz="4" w:space="0" w:color="000000"/>
            </w:tcBorders>
            <w:vAlign w:val="center"/>
          </w:tcPr>
          <w:p w14:paraId="4AA94056"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50 - 55% tổng calori</w:t>
            </w:r>
          </w:p>
        </w:tc>
      </w:tr>
      <w:tr w:rsidR="00766084" w:rsidRPr="00FE7693" w14:paraId="47EDEAF2" w14:textId="77777777">
        <w:tblPrEx>
          <w:tblCellMar>
            <w:top w:w="0" w:type="dxa"/>
            <w:left w:w="0" w:type="dxa"/>
            <w:bottom w:w="0" w:type="dxa"/>
            <w:right w:w="0" w:type="dxa"/>
          </w:tblCellMar>
        </w:tblPrEx>
        <w:tc>
          <w:tcPr>
            <w:tcW w:w="2573" w:type="pct"/>
            <w:tcBorders>
              <w:top w:val="single" w:sz="4" w:space="0" w:color="000000"/>
              <w:left w:val="single" w:sz="4" w:space="0" w:color="000000"/>
              <w:bottom w:val="single" w:sz="4" w:space="0" w:color="000000"/>
              <w:right w:val="single" w:sz="4" w:space="0" w:color="000000"/>
            </w:tcBorders>
            <w:vAlign w:val="center"/>
          </w:tcPr>
          <w:p w14:paraId="1B977DE7"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Muối</w:t>
            </w:r>
          </w:p>
        </w:tc>
        <w:tc>
          <w:tcPr>
            <w:tcW w:w="2427" w:type="pct"/>
            <w:tcBorders>
              <w:top w:val="single" w:sz="4" w:space="0" w:color="000000"/>
              <w:left w:val="single" w:sz="4" w:space="0" w:color="000000"/>
              <w:bottom w:val="single" w:sz="4" w:space="0" w:color="000000"/>
              <w:right w:val="single" w:sz="4" w:space="0" w:color="000000"/>
            </w:tcBorders>
            <w:vAlign w:val="center"/>
          </w:tcPr>
          <w:p w14:paraId="1DC5CA4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&lt;5g</w:t>
            </w:r>
          </w:p>
        </w:tc>
      </w:tr>
      <w:tr w:rsidR="00766084" w:rsidRPr="00FE7693" w14:paraId="71127861" w14:textId="77777777">
        <w:tblPrEx>
          <w:tblCellMar>
            <w:top w:w="0" w:type="dxa"/>
            <w:left w:w="0" w:type="dxa"/>
            <w:bottom w:w="0" w:type="dxa"/>
            <w:right w:w="0" w:type="dxa"/>
          </w:tblCellMar>
        </w:tblPrEx>
        <w:tc>
          <w:tcPr>
            <w:tcW w:w="2573" w:type="pct"/>
            <w:tcBorders>
              <w:top w:val="single" w:sz="4" w:space="0" w:color="000000"/>
              <w:left w:val="single" w:sz="4" w:space="0" w:color="000000"/>
              <w:bottom w:val="single" w:sz="4" w:space="0" w:color="000000"/>
              <w:right w:val="single" w:sz="4" w:space="0" w:color="000000"/>
            </w:tcBorders>
            <w:vAlign w:val="center"/>
          </w:tcPr>
          <w:p w14:paraId="0D5B2800"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Calci</w:t>
            </w:r>
          </w:p>
        </w:tc>
        <w:tc>
          <w:tcPr>
            <w:tcW w:w="2427" w:type="pct"/>
            <w:tcBorders>
              <w:top w:val="single" w:sz="4" w:space="0" w:color="000000"/>
              <w:left w:val="single" w:sz="4" w:space="0" w:color="000000"/>
              <w:bottom w:val="single" w:sz="4" w:space="0" w:color="000000"/>
              <w:right w:val="single" w:sz="4" w:space="0" w:color="000000"/>
            </w:tcBorders>
            <w:vAlign w:val="center"/>
          </w:tcPr>
          <w:p w14:paraId="7D1A328E"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Theo nhu cầu dinh dưỡng khuyến nghị</w:t>
            </w:r>
          </w:p>
        </w:tc>
      </w:tr>
      <w:tr w:rsidR="00766084" w:rsidRPr="00FE7693" w14:paraId="4672203A" w14:textId="77777777">
        <w:tblPrEx>
          <w:tblCellMar>
            <w:top w:w="0" w:type="dxa"/>
            <w:left w:w="0" w:type="dxa"/>
            <w:bottom w:w="0" w:type="dxa"/>
            <w:right w:w="0" w:type="dxa"/>
          </w:tblCellMar>
        </w:tblPrEx>
        <w:tc>
          <w:tcPr>
            <w:tcW w:w="2573" w:type="pct"/>
            <w:tcBorders>
              <w:top w:val="single" w:sz="4" w:space="0" w:color="000000"/>
              <w:left w:val="single" w:sz="4" w:space="0" w:color="000000"/>
              <w:bottom w:val="single" w:sz="4" w:space="0" w:color="000000"/>
              <w:right w:val="single" w:sz="4" w:space="0" w:color="000000"/>
            </w:tcBorders>
            <w:vAlign w:val="center"/>
          </w:tcPr>
          <w:p w14:paraId="6CA118BF"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Chất xơ</w:t>
            </w:r>
          </w:p>
        </w:tc>
        <w:tc>
          <w:tcPr>
            <w:tcW w:w="2427" w:type="pct"/>
            <w:tcBorders>
              <w:top w:val="single" w:sz="4" w:space="0" w:color="000000"/>
              <w:left w:val="single" w:sz="4" w:space="0" w:color="000000"/>
              <w:bottom w:val="single" w:sz="4" w:space="0" w:color="000000"/>
              <w:right w:val="single" w:sz="4" w:space="0" w:color="000000"/>
            </w:tcBorders>
            <w:vAlign w:val="center"/>
          </w:tcPr>
          <w:p w14:paraId="7B3F4CC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20-30g</w:t>
            </w:r>
          </w:p>
        </w:tc>
      </w:tr>
    </w:tbl>
    <w:p w14:paraId="234B1D20"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Bảng 6.2. Phân loại tiêu thụ năng lượng dựa trên mức độ lao động và giới tính</w:t>
      </w:r>
    </w:p>
    <w:tbl>
      <w:tblPr>
        <w:tblW w:w="5000" w:type="pct"/>
        <w:tblCellMar>
          <w:left w:w="0" w:type="dxa"/>
          <w:right w:w="0" w:type="dxa"/>
        </w:tblCellMar>
        <w:tblLook w:val="0000" w:firstRow="0" w:lastRow="0" w:firstColumn="0" w:lastColumn="0" w:noHBand="0" w:noVBand="0"/>
      </w:tblPr>
      <w:tblGrid>
        <w:gridCol w:w="2117"/>
        <w:gridCol w:w="2025"/>
        <w:gridCol w:w="2025"/>
        <w:gridCol w:w="2463"/>
      </w:tblGrid>
      <w:tr w:rsidR="00766084" w:rsidRPr="00FE7693" w14:paraId="312A6C95" w14:textId="77777777">
        <w:tblPrEx>
          <w:tblCellMar>
            <w:top w:w="0" w:type="dxa"/>
            <w:left w:w="0" w:type="dxa"/>
            <w:bottom w:w="0" w:type="dxa"/>
            <w:right w:w="0" w:type="dxa"/>
          </w:tblCellMar>
        </w:tblPrEx>
        <w:tc>
          <w:tcPr>
            <w:tcW w:w="1227" w:type="pct"/>
            <w:tcBorders>
              <w:top w:val="single" w:sz="4" w:space="0" w:color="000000"/>
              <w:left w:val="single" w:sz="4" w:space="0" w:color="000000"/>
              <w:bottom w:val="single" w:sz="4" w:space="0" w:color="000000"/>
              <w:right w:val="single" w:sz="4" w:space="0" w:color="000000"/>
            </w:tcBorders>
          </w:tcPr>
          <w:p w14:paraId="13A9161E" w14:textId="77777777" w:rsidR="003461B7"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Mức độ lao động/</w:t>
            </w:r>
            <w:r w:rsidR="003461B7" w:rsidRPr="00FE7693">
              <w:rPr>
                <w:rFonts w:ascii="Arial" w:hAnsi="Arial" w:cs="Arial"/>
                <w:b/>
                <w:sz w:val="20"/>
              </w:rPr>
              <w:t xml:space="preserve"> </w:t>
            </w:r>
          </w:p>
          <w:p w14:paraId="58C226EF"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Nhu cầu năng lượng (kcal)</w:t>
            </w:r>
          </w:p>
        </w:tc>
        <w:tc>
          <w:tcPr>
            <w:tcW w:w="1173" w:type="pct"/>
            <w:tcBorders>
              <w:top w:val="single" w:sz="4" w:space="0" w:color="000000"/>
              <w:left w:val="single" w:sz="4" w:space="0" w:color="000000"/>
              <w:bottom w:val="single" w:sz="4" w:space="0" w:color="000000"/>
              <w:right w:val="single" w:sz="4" w:space="0" w:color="000000"/>
            </w:tcBorders>
          </w:tcPr>
          <w:p w14:paraId="2B5C74D8"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Lao động nhẹ</w:t>
            </w:r>
          </w:p>
        </w:tc>
        <w:tc>
          <w:tcPr>
            <w:tcW w:w="1173" w:type="pct"/>
            <w:tcBorders>
              <w:top w:val="single" w:sz="4" w:space="0" w:color="000000"/>
              <w:left w:val="single" w:sz="4" w:space="0" w:color="000000"/>
              <w:bottom w:val="single" w:sz="4" w:space="0" w:color="000000"/>
              <w:right w:val="single" w:sz="4" w:space="0" w:color="000000"/>
            </w:tcBorders>
          </w:tcPr>
          <w:p w14:paraId="14FB4A07"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Lao động vừa</w:t>
            </w:r>
          </w:p>
        </w:tc>
        <w:tc>
          <w:tcPr>
            <w:tcW w:w="1427" w:type="pct"/>
            <w:tcBorders>
              <w:top w:val="single" w:sz="4" w:space="0" w:color="000000"/>
              <w:left w:val="single" w:sz="4" w:space="0" w:color="000000"/>
              <w:bottom w:val="single" w:sz="4" w:space="0" w:color="000000"/>
              <w:right w:val="single" w:sz="4" w:space="0" w:color="000000"/>
            </w:tcBorders>
          </w:tcPr>
          <w:p w14:paraId="0753B3EE"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Lao động nặng</w:t>
            </w:r>
          </w:p>
        </w:tc>
      </w:tr>
      <w:tr w:rsidR="00766084" w:rsidRPr="00FE7693" w14:paraId="679A4FA6" w14:textId="77777777">
        <w:tblPrEx>
          <w:tblCellMar>
            <w:top w:w="0" w:type="dxa"/>
            <w:left w:w="0" w:type="dxa"/>
            <w:bottom w:w="0" w:type="dxa"/>
            <w:right w:w="0" w:type="dxa"/>
          </w:tblCellMar>
        </w:tblPrEx>
        <w:tc>
          <w:tcPr>
            <w:tcW w:w="1227" w:type="pct"/>
            <w:vMerge w:val="restart"/>
            <w:tcBorders>
              <w:top w:val="single" w:sz="4" w:space="0" w:color="000000"/>
              <w:left w:val="single" w:sz="4" w:space="0" w:color="000000"/>
              <w:bottom w:val="single" w:sz="4" w:space="0" w:color="000000"/>
              <w:right w:val="single" w:sz="4" w:space="0" w:color="000000"/>
            </w:tcBorders>
          </w:tcPr>
          <w:p w14:paraId="43944FAB"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Nam</w:t>
            </w:r>
          </w:p>
        </w:tc>
        <w:tc>
          <w:tcPr>
            <w:tcW w:w="1173" w:type="pct"/>
            <w:tcBorders>
              <w:top w:val="single" w:sz="4" w:space="0" w:color="000000"/>
              <w:left w:val="single" w:sz="4" w:space="0" w:color="000000"/>
              <w:bottom w:val="single" w:sz="4" w:space="0" w:color="000000"/>
              <w:right w:val="single" w:sz="4" w:space="0" w:color="000000"/>
            </w:tcBorders>
          </w:tcPr>
          <w:p w14:paraId="2BC12E2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Nhân viên văn phòng (giáo viên, luật sư, bác sỹ,</w:t>
            </w:r>
            <w:r w:rsidR="003461B7" w:rsidRPr="00FE7693">
              <w:rPr>
                <w:rFonts w:ascii="Arial" w:hAnsi="Arial" w:cs="Arial"/>
                <w:sz w:val="20"/>
              </w:rPr>
              <w:t xml:space="preserve"> </w:t>
            </w:r>
            <w:r w:rsidRPr="00FE7693">
              <w:rPr>
                <w:rFonts w:ascii="Arial" w:hAnsi="Arial" w:cs="Arial"/>
                <w:sz w:val="20"/>
              </w:rPr>
              <w:t>kế toán, giáo viên... ), nhân viên bán hàng, người thất nghiệp.</w:t>
            </w:r>
          </w:p>
        </w:tc>
        <w:tc>
          <w:tcPr>
            <w:tcW w:w="1173" w:type="pct"/>
            <w:tcBorders>
              <w:top w:val="single" w:sz="4" w:space="0" w:color="000000"/>
              <w:left w:val="single" w:sz="4" w:space="0" w:color="000000"/>
              <w:bottom w:val="single" w:sz="4" w:space="0" w:color="000000"/>
              <w:right w:val="single" w:sz="4" w:space="0" w:color="000000"/>
            </w:tcBorders>
          </w:tcPr>
          <w:p w14:paraId="2D14A8F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Công nhân công nghiệp nhẹ, sinh viên, công nhân xây dựng, nông dân, ngư dân, quân đội không trong thời gian chiến đấu.</w:t>
            </w:r>
          </w:p>
        </w:tc>
        <w:tc>
          <w:tcPr>
            <w:tcW w:w="1427" w:type="pct"/>
            <w:tcBorders>
              <w:top w:val="single" w:sz="4" w:space="0" w:color="000000"/>
              <w:left w:val="single" w:sz="4" w:space="0" w:color="000000"/>
              <w:bottom w:val="single" w:sz="4" w:space="0" w:color="000000"/>
              <w:right w:val="single" w:sz="4" w:space="0" w:color="000000"/>
            </w:tcBorders>
          </w:tcPr>
          <w:p w14:paraId="0CA31647"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Nông dân trong vụ thu hoạch, công nhân lâm nghiệp, lao động thể lực đơn giản, chiến sỹ quân đội trong chiến đấu/</w:t>
            </w:r>
            <w:r w:rsidR="003461B7" w:rsidRPr="00FE7693">
              <w:rPr>
                <w:rFonts w:ascii="Arial" w:hAnsi="Arial" w:cs="Arial"/>
                <w:sz w:val="20"/>
              </w:rPr>
              <w:t xml:space="preserve"> </w:t>
            </w:r>
            <w:r w:rsidRPr="00FE7693">
              <w:rPr>
                <w:rFonts w:ascii="Arial" w:hAnsi="Arial" w:cs="Arial"/>
                <w:sz w:val="20"/>
              </w:rPr>
              <w:t>luyện tập, công nhân mỏ, luyện thép, vận động viên thể thao trong thời gian luyện tập.</w:t>
            </w:r>
          </w:p>
        </w:tc>
      </w:tr>
      <w:tr w:rsidR="00766084" w:rsidRPr="00FE7693" w14:paraId="61CBF7E6" w14:textId="77777777">
        <w:tblPrEx>
          <w:tblCellMar>
            <w:top w:w="0" w:type="dxa"/>
            <w:left w:w="0" w:type="dxa"/>
            <w:bottom w:w="0" w:type="dxa"/>
            <w:right w:w="0" w:type="dxa"/>
          </w:tblCellMar>
        </w:tblPrEx>
        <w:tc>
          <w:tcPr>
            <w:tcW w:w="1227" w:type="pct"/>
            <w:vMerge/>
            <w:tcBorders>
              <w:top w:val="single" w:sz="4" w:space="0" w:color="000000"/>
              <w:left w:val="single" w:sz="4" w:space="0" w:color="000000"/>
              <w:bottom w:val="single" w:sz="4" w:space="0" w:color="000000"/>
              <w:right w:val="single" w:sz="4" w:space="0" w:color="000000"/>
            </w:tcBorders>
          </w:tcPr>
          <w:p w14:paraId="25EE7371" w14:textId="77777777" w:rsidR="00766084" w:rsidRPr="00FE7693" w:rsidRDefault="00766084" w:rsidP="00FE7693">
            <w:pPr>
              <w:widowControl w:val="0"/>
              <w:autoSpaceDE w:val="0"/>
              <w:autoSpaceDN w:val="0"/>
              <w:adjustRightInd w:val="0"/>
              <w:spacing w:before="120"/>
              <w:rPr>
                <w:rFonts w:ascii="Arial" w:hAnsi="Arial" w:cs="Arial"/>
                <w:b/>
                <w:sz w:val="20"/>
              </w:rPr>
            </w:pPr>
          </w:p>
        </w:tc>
        <w:tc>
          <w:tcPr>
            <w:tcW w:w="1173" w:type="pct"/>
            <w:tcBorders>
              <w:top w:val="single" w:sz="4" w:space="0" w:color="000000"/>
              <w:left w:val="single" w:sz="4" w:space="0" w:color="000000"/>
              <w:bottom w:val="single" w:sz="4" w:space="0" w:color="000000"/>
              <w:right w:val="single" w:sz="4" w:space="0" w:color="000000"/>
            </w:tcBorders>
          </w:tcPr>
          <w:p w14:paraId="47CF6B40"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30 kcal/kg</w:t>
            </w:r>
          </w:p>
        </w:tc>
        <w:tc>
          <w:tcPr>
            <w:tcW w:w="1173" w:type="pct"/>
            <w:tcBorders>
              <w:top w:val="single" w:sz="4" w:space="0" w:color="000000"/>
              <w:left w:val="single" w:sz="4" w:space="0" w:color="000000"/>
              <w:bottom w:val="single" w:sz="4" w:space="0" w:color="000000"/>
              <w:right w:val="single" w:sz="4" w:space="0" w:color="000000"/>
            </w:tcBorders>
          </w:tcPr>
          <w:p w14:paraId="7B524EBD"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35 kcal/kg</w:t>
            </w:r>
          </w:p>
        </w:tc>
        <w:tc>
          <w:tcPr>
            <w:tcW w:w="1427" w:type="pct"/>
            <w:tcBorders>
              <w:top w:val="single" w:sz="4" w:space="0" w:color="000000"/>
              <w:left w:val="single" w:sz="4" w:space="0" w:color="000000"/>
              <w:bottom w:val="single" w:sz="4" w:space="0" w:color="000000"/>
              <w:right w:val="single" w:sz="4" w:space="0" w:color="000000"/>
            </w:tcBorders>
          </w:tcPr>
          <w:p w14:paraId="1FA3965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45 kcal/kg</w:t>
            </w:r>
          </w:p>
        </w:tc>
      </w:tr>
      <w:tr w:rsidR="00766084" w:rsidRPr="00FE7693" w14:paraId="51CDAFAD" w14:textId="77777777">
        <w:tblPrEx>
          <w:tblCellMar>
            <w:top w:w="0" w:type="dxa"/>
            <w:left w:w="0" w:type="dxa"/>
            <w:bottom w:w="0" w:type="dxa"/>
            <w:right w:w="0" w:type="dxa"/>
          </w:tblCellMar>
        </w:tblPrEx>
        <w:tc>
          <w:tcPr>
            <w:tcW w:w="1227" w:type="pct"/>
            <w:vMerge w:val="restart"/>
            <w:tcBorders>
              <w:top w:val="single" w:sz="4" w:space="0" w:color="000000"/>
              <w:left w:val="single" w:sz="4" w:space="0" w:color="000000"/>
              <w:bottom w:val="single" w:sz="4" w:space="0" w:color="000000"/>
              <w:right w:val="single" w:sz="4" w:space="0" w:color="000000"/>
            </w:tcBorders>
          </w:tcPr>
          <w:p w14:paraId="68F22066"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Nữ</w:t>
            </w:r>
          </w:p>
        </w:tc>
        <w:tc>
          <w:tcPr>
            <w:tcW w:w="1173" w:type="pct"/>
            <w:tcBorders>
              <w:top w:val="single" w:sz="4" w:space="0" w:color="000000"/>
              <w:left w:val="single" w:sz="4" w:space="0" w:color="000000"/>
              <w:bottom w:val="single" w:sz="4" w:space="0" w:color="000000"/>
              <w:right w:val="single" w:sz="4" w:space="0" w:color="000000"/>
            </w:tcBorders>
          </w:tcPr>
          <w:p w14:paraId="2BD1CDD6"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Nhân viên văn phòng, giáo viên, nội trợ (không phải chăm sóc trẻ nhỏ), hầu hết các nghề khác.</w:t>
            </w:r>
          </w:p>
        </w:tc>
        <w:tc>
          <w:tcPr>
            <w:tcW w:w="1173" w:type="pct"/>
            <w:tcBorders>
              <w:top w:val="single" w:sz="4" w:space="0" w:color="000000"/>
              <w:left w:val="single" w:sz="4" w:space="0" w:color="000000"/>
              <w:bottom w:val="single" w:sz="4" w:space="0" w:color="000000"/>
              <w:right w:val="single" w:sz="4" w:space="0" w:color="000000"/>
            </w:tcBorders>
          </w:tcPr>
          <w:p w14:paraId="2AD249F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Công nhân công nghiệp nhẹ, nhân viên bán hàng, sinh viên, phụ nữ nội trợ đang</w:t>
            </w:r>
            <w:r w:rsidR="003461B7" w:rsidRPr="00FE7693">
              <w:rPr>
                <w:rFonts w:ascii="Arial" w:hAnsi="Arial" w:cs="Arial"/>
                <w:sz w:val="20"/>
              </w:rPr>
              <w:t xml:space="preserve"> </w:t>
            </w:r>
            <w:r w:rsidRPr="00FE7693">
              <w:rPr>
                <w:rFonts w:ascii="Arial" w:hAnsi="Arial" w:cs="Arial"/>
                <w:sz w:val="20"/>
              </w:rPr>
              <w:t>chăm sóc trẻ nhỏ.</w:t>
            </w:r>
          </w:p>
        </w:tc>
        <w:tc>
          <w:tcPr>
            <w:tcW w:w="1427" w:type="pct"/>
            <w:tcBorders>
              <w:top w:val="single" w:sz="4" w:space="0" w:color="000000"/>
              <w:left w:val="single" w:sz="4" w:space="0" w:color="000000"/>
              <w:bottom w:val="single" w:sz="4" w:space="0" w:color="000000"/>
              <w:right w:val="single" w:sz="4" w:space="0" w:color="000000"/>
            </w:tcBorders>
          </w:tcPr>
          <w:p w14:paraId="606D07B6"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Nông dân trong vụ thu hoạch, vũ công, vận động viên thể thao trong thời gian luyện tập.</w:t>
            </w:r>
          </w:p>
        </w:tc>
      </w:tr>
      <w:tr w:rsidR="00766084" w:rsidRPr="00FE7693" w14:paraId="5AFF9CED" w14:textId="77777777">
        <w:tblPrEx>
          <w:tblCellMar>
            <w:top w:w="0" w:type="dxa"/>
            <w:left w:w="0" w:type="dxa"/>
            <w:bottom w:w="0" w:type="dxa"/>
            <w:right w:w="0" w:type="dxa"/>
          </w:tblCellMar>
        </w:tblPrEx>
        <w:tc>
          <w:tcPr>
            <w:tcW w:w="1227" w:type="pct"/>
            <w:vMerge/>
            <w:tcBorders>
              <w:top w:val="single" w:sz="4" w:space="0" w:color="000000"/>
              <w:left w:val="single" w:sz="4" w:space="0" w:color="000000"/>
              <w:bottom w:val="single" w:sz="4" w:space="0" w:color="000000"/>
              <w:right w:val="single" w:sz="4" w:space="0" w:color="000000"/>
            </w:tcBorders>
          </w:tcPr>
          <w:p w14:paraId="5AD96287" w14:textId="77777777" w:rsidR="00766084" w:rsidRPr="00FE7693" w:rsidRDefault="00766084" w:rsidP="00FE7693">
            <w:pPr>
              <w:widowControl w:val="0"/>
              <w:autoSpaceDE w:val="0"/>
              <w:autoSpaceDN w:val="0"/>
              <w:adjustRightInd w:val="0"/>
              <w:spacing w:before="120"/>
              <w:rPr>
                <w:rFonts w:ascii="Arial" w:hAnsi="Arial" w:cs="Arial"/>
                <w:b/>
                <w:sz w:val="20"/>
              </w:rPr>
            </w:pPr>
          </w:p>
        </w:tc>
        <w:tc>
          <w:tcPr>
            <w:tcW w:w="1173" w:type="pct"/>
            <w:tcBorders>
              <w:top w:val="single" w:sz="4" w:space="0" w:color="000000"/>
              <w:left w:val="single" w:sz="4" w:space="0" w:color="000000"/>
              <w:bottom w:val="single" w:sz="4" w:space="0" w:color="000000"/>
              <w:right w:val="single" w:sz="4" w:space="0" w:color="000000"/>
            </w:tcBorders>
          </w:tcPr>
          <w:p w14:paraId="60A5B75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25 kcal/kg</w:t>
            </w:r>
          </w:p>
        </w:tc>
        <w:tc>
          <w:tcPr>
            <w:tcW w:w="1173" w:type="pct"/>
            <w:tcBorders>
              <w:top w:val="single" w:sz="4" w:space="0" w:color="000000"/>
              <w:left w:val="single" w:sz="4" w:space="0" w:color="000000"/>
              <w:bottom w:val="single" w:sz="4" w:space="0" w:color="000000"/>
              <w:right w:val="single" w:sz="4" w:space="0" w:color="000000"/>
            </w:tcBorders>
          </w:tcPr>
          <w:p w14:paraId="5077B72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30 kcal/kg</w:t>
            </w:r>
          </w:p>
        </w:tc>
        <w:tc>
          <w:tcPr>
            <w:tcW w:w="1427" w:type="pct"/>
            <w:tcBorders>
              <w:top w:val="single" w:sz="4" w:space="0" w:color="000000"/>
              <w:left w:val="single" w:sz="4" w:space="0" w:color="000000"/>
              <w:bottom w:val="single" w:sz="4" w:space="0" w:color="000000"/>
              <w:right w:val="single" w:sz="4" w:space="0" w:color="000000"/>
            </w:tcBorders>
          </w:tcPr>
          <w:p w14:paraId="1BBA73F7"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40 kcal/kg</w:t>
            </w:r>
          </w:p>
        </w:tc>
      </w:tr>
    </w:tbl>
    <w:p w14:paraId="1B3413E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Cách tính thực đơn dành cho người béo muốn giảm cân được tính theo cân nặng lý tưởng: Cân nặng lý tưởng (CNLT) = (chiều cao)</w:t>
      </w:r>
      <w:r w:rsidRPr="00FE7693">
        <w:rPr>
          <w:rFonts w:ascii="Arial" w:hAnsi="Arial" w:cs="Arial"/>
          <w:sz w:val="20"/>
          <w:szCs w:val="16"/>
          <w:vertAlign w:val="superscript"/>
        </w:rPr>
        <w:t>2</w:t>
      </w:r>
      <w:r w:rsidRPr="00FE7693">
        <w:rPr>
          <w:rFonts w:ascii="Arial" w:hAnsi="Arial" w:cs="Arial"/>
          <w:sz w:val="20"/>
          <w:szCs w:val="16"/>
        </w:rPr>
        <w:t xml:space="preserve"> </w:t>
      </w:r>
      <w:r w:rsidRPr="00FE7693">
        <w:rPr>
          <w:rFonts w:ascii="Arial" w:hAnsi="Arial" w:cs="Arial"/>
          <w:sz w:val="20"/>
        </w:rPr>
        <w:t>(</w:t>
      </w:r>
      <w:r w:rsidR="00940AB7" w:rsidRPr="00FE7693">
        <w:rPr>
          <w:rFonts w:ascii="Arial" w:hAnsi="Arial" w:cs="Arial"/>
          <w:sz w:val="20"/>
        </w:rPr>
        <w:t>m</w:t>
      </w:r>
      <w:r w:rsidR="00940AB7" w:rsidRPr="00FE7693">
        <w:rPr>
          <w:rFonts w:ascii="Arial" w:hAnsi="Arial" w:cs="Arial"/>
          <w:sz w:val="20"/>
          <w:vertAlign w:val="superscript"/>
        </w:rPr>
        <w:t>2</w:t>
      </w:r>
      <w:r w:rsidRPr="00FE7693">
        <w:rPr>
          <w:rFonts w:ascii="Arial" w:hAnsi="Arial" w:cs="Arial"/>
          <w:sz w:val="20"/>
        </w:rPr>
        <w:t>) × 22</w:t>
      </w:r>
    </w:p>
    <w:p w14:paraId="37EC5CA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Chế độ ăn:</w:t>
      </w:r>
    </w:p>
    <w:p w14:paraId="01AB8DC6"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Lao động nhẹ = CNLT × (20-25 calo)</w:t>
      </w:r>
    </w:p>
    <w:p w14:paraId="2D6A9842"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Lao động trung bình = CNLT × (25- 30 calo)</w:t>
      </w:r>
    </w:p>
    <w:p w14:paraId="6D5FDFB6"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Lao động nặng = CNLT × (30-35 calo)</w:t>
      </w:r>
    </w:p>
    <w:p w14:paraId="121641C1"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Mục tiêu là giảm cân từ từ khoảng 2 - 3 kg/tháng. Phối hợp giáo dục với chế độ ăn cho bệnh nhân, phải theo dõi thường xuyên cân nặng và có biện pháp hỗ trợ tâm lý cho bệnh nhân.</w:t>
      </w:r>
    </w:p>
    <w:p w14:paraId="7AE54DAB"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Tăng cường vận động và tập thể dục: áp dụng tùy theo tuổi và các biến chứng đã có ở bệnh nhân hay không, tập thể lực rất hữu ích mặc dù tiêu tốn năng lượng tương đối ít trong khi tập luyện.</w:t>
      </w:r>
    </w:p>
    <w:p w14:paraId="49E1A10A"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Phải chia chế độ ăn làm 2 giai </w:t>
      </w:r>
      <w:r w:rsidR="001B3598">
        <w:rPr>
          <w:rFonts w:ascii="Arial" w:hAnsi="Arial" w:cs="Arial"/>
          <w:sz w:val="20"/>
        </w:rPr>
        <w:t>đoạn</w:t>
      </w:r>
      <w:r w:rsidRPr="00FE7693">
        <w:rPr>
          <w:rFonts w:ascii="Arial" w:hAnsi="Arial" w:cs="Arial"/>
          <w:sz w:val="20"/>
        </w:rPr>
        <w:t>: giai đoạn giảm cân và giai đoạn duy trì.</w:t>
      </w:r>
    </w:p>
    <w:p w14:paraId="6FEBE9A7"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Điều trị béo phì chưa có biến chứng chủ yếu dựa vào kiểm soát chế độ ăn.</w:t>
      </w:r>
    </w:p>
    <w:p w14:paraId="486F9085"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6.2.2.</w:t>
      </w:r>
      <w:r w:rsidR="001F364C" w:rsidRPr="00FE7693">
        <w:rPr>
          <w:rFonts w:ascii="Arial" w:hAnsi="Arial" w:cs="Arial"/>
          <w:sz w:val="20"/>
        </w:rPr>
        <w:t xml:space="preserve"> </w:t>
      </w:r>
      <w:r w:rsidRPr="00FE7693">
        <w:rPr>
          <w:rFonts w:ascii="Arial" w:hAnsi="Arial" w:cs="Arial"/>
          <w:sz w:val="20"/>
        </w:rPr>
        <w:t>Chế độ vận động trong điều trị béo phì</w:t>
      </w:r>
    </w:p>
    <w:p w14:paraId="7B082B09"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a.</w:t>
      </w:r>
      <w:r w:rsidR="001F364C" w:rsidRPr="00FE7693">
        <w:rPr>
          <w:rFonts w:ascii="Arial" w:hAnsi="Arial" w:cs="Arial"/>
          <w:i/>
          <w:sz w:val="20"/>
        </w:rPr>
        <w:t xml:space="preserve"> </w:t>
      </w:r>
      <w:r w:rsidRPr="00FE7693">
        <w:rPr>
          <w:rFonts w:ascii="Arial" w:hAnsi="Arial" w:cs="Arial"/>
          <w:i/>
          <w:sz w:val="20"/>
        </w:rPr>
        <w:t>Hướng dẫn tập luyện:</w:t>
      </w:r>
    </w:p>
    <w:p w14:paraId="0367E79E"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Cần thăm dò tim mạch trước khi bắt đầu chương trình vận động, nhất là với người lớn tuổi, có yếu tố nguy cơ tim mạch.</w:t>
      </w:r>
    </w:p>
    <w:p w14:paraId="442D48E1"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Để buổi tập an toàn và hiệu quả, nên thực hiện đủ 3 giai đoạn:</w:t>
      </w:r>
    </w:p>
    <w:p w14:paraId="1851A739" w14:textId="77777777" w:rsidR="00766084" w:rsidRPr="00FE7693" w:rsidRDefault="003461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Khởi động (5-10 phút): làm nóng cơ thể với những động tác đơn giản, cường độ thấp. Khởi động các khớp từ trên xuống dưới.</w:t>
      </w:r>
    </w:p>
    <w:p w14:paraId="0F88F420" w14:textId="77777777" w:rsidR="00766084" w:rsidRPr="00FE7693" w:rsidRDefault="003461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Tập luyện: thực hiện các bài tập vận động từ 20 đến 30 phút.</w:t>
      </w:r>
    </w:p>
    <w:p w14:paraId="140A2EDE" w14:textId="77777777" w:rsidR="00766084" w:rsidRPr="00FE7693" w:rsidRDefault="003461B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Làm nguội (5-10 phút): thư giãn, thả lỏng cơ thể với những động tác chậm rãi, đưa cơ thể về trạng thái ban đầu.</w:t>
      </w:r>
    </w:p>
    <w:p w14:paraId="65B4B9D0"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b.</w:t>
      </w:r>
      <w:r w:rsidR="001F364C" w:rsidRPr="00FE7693">
        <w:rPr>
          <w:rFonts w:ascii="Arial" w:hAnsi="Arial" w:cs="Arial"/>
          <w:i/>
          <w:sz w:val="20"/>
        </w:rPr>
        <w:t xml:space="preserve"> </w:t>
      </w:r>
      <w:r w:rsidRPr="00FE7693">
        <w:rPr>
          <w:rFonts w:ascii="Arial" w:hAnsi="Arial" w:cs="Arial"/>
          <w:i/>
          <w:sz w:val="20"/>
        </w:rPr>
        <w:t>Cường độ tập luyện:</w:t>
      </w:r>
    </w:p>
    <w:p w14:paraId="61493F1F"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Tập luyện hoạt động thể chất sức bền (aerobic ) là một biện pháp thiết yếu trong các chương trình giảm cân cho người béo phì. Nên thực hiện các bài tập cường độ trung bình ít nhất 150 phút mỗi tuần, 3 đến 5 lần một tuần, bắt đầu bằng bài tập cường độ thấp và tăng dần cường độ và số lượng tập thể dục theo mức độ thể dục cá nhân. Tập luyện đề kháng nên được áp dụng trong các chương trình giảm cân để tăng khối lượng cơ và thúc đẩy giảm mỡ cơ thể, và được đề nghị thực hiện bằng các bài tập sử dụng các nhóm cơ lớn 2-4 lần một tuần.</w:t>
      </w:r>
    </w:p>
    <w:p w14:paraId="52076AF1"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Dùng công thức tính nhịp tim khi tập để xác định mức độ phù hợp của cường độ tập luyện:</w:t>
      </w:r>
    </w:p>
    <w:p w14:paraId="019E81D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Nhịp tim khi tập = (220 - tuổi) x (từ 50% đến 70%)</w:t>
      </w:r>
    </w:p>
    <w:p w14:paraId="38E89463"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Ví dụ: một người 40 tuổi được xem là vận động phù hợp nếu khi tập luyện nhịp tim đạt mức: (220 - 40) x 0,5 = 90 lần/phút.</w:t>
      </w:r>
    </w:p>
    <w:p w14:paraId="4D916E0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Người bệnh cũng có thể tự đánh giá mức độ vận động đã phù hợp chưa qua giọng nói:</w:t>
      </w:r>
      <w:r w:rsidR="00B20509" w:rsidRPr="00FE7693">
        <w:rPr>
          <w:rFonts w:ascii="Arial" w:hAnsi="Arial" w:cs="Arial"/>
          <w:sz w:val="20"/>
        </w:rPr>
        <w:t xml:space="preserve"> </w:t>
      </w:r>
      <w:r w:rsidRPr="00FE7693">
        <w:rPr>
          <w:rFonts w:ascii="Arial" w:hAnsi="Arial" w:cs="Arial"/>
          <w:sz w:val="20"/>
        </w:rPr>
        <w:t>khi tập luyện không thấy hụt hơi, vẫn trò chuyện được nhưng không thể hát được.</w:t>
      </w:r>
    </w:p>
    <w:p w14:paraId="5F372CEE"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c.</w:t>
      </w:r>
      <w:r w:rsidR="001F364C" w:rsidRPr="00FE7693">
        <w:rPr>
          <w:rFonts w:ascii="Arial" w:hAnsi="Arial" w:cs="Arial"/>
          <w:i/>
          <w:sz w:val="20"/>
        </w:rPr>
        <w:t xml:space="preserve"> </w:t>
      </w:r>
      <w:r w:rsidRPr="00FE7693">
        <w:rPr>
          <w:rFonts w:ascii="Arial" w:hAnsi="Arial" w:cs="Arial"/>
          <w:i/>
          <w:sz w:val="20"/>
        </w:rPr>
        <w:t>Thời gian tập luyện:</w:t>
      </w:r>
    </w:p>
    <w:p w14:paraId="62C3823F"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Có thể tập vào bất kỳ thời điểm nào trong ngày, miễn là phù hợp với nếp sinh hoạt của mình.</w:t>
      </w:r>
    </w:p>
    <w:p w14:paraId="0168984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Mỗi ngày trung bình 30 - 40 phút. Hoặc vận động nhiều lần trong ngày, mỗi lần tối thiểu</w:t>
      </w:r>
      <w:r w:rsidR="00B20509" w:rsidRPr="00FE7693">
        <w:rPr>
          <w:rFonts w:ascii="Arial" w:hAnsi="Arial" w:cs="Arial"/>
          <w:sz w:val="20"/>
        </w:rPr>
        <w:t xml:space="preserve"> </w:t>
      </w:r>
      <w:r w:rsidRPr="00FE7693">
        <w:rPr>
          <w:rFonts w:ascii="Arial" w:hAnsi="Arial" w:cs="Arial"/>
          <w:sz w:val="20"/>
        </w:rPr>
        <w:t>10 phút. Nên vận động tối thiểu 5 ngày/tuần, tốt hơn nên tập đều đặn mỗi ngày.</w:t>
      </w:r>
    </w:p>
    <w:p w14:paraId="24A6E37D"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d.</w:t>
      </w:r>
      <w:r w:rsidR="001F364C" w:rsidRPr="00FE7693">
        <w:rPr>
          <w:rFonts w:ascii="Arial" w:hAnsi="Arial" w:cs="Arial"/>
          <w:i/>
          <w:sz w:val="20"/>
        </w:rPr>
        <w:t xml:space="preserve"> </w:t>
      </w:r>
      <w:r w:rsidRPr="00FE7693">
        <w:rPr>
          <w:rFonts w:ascii="Arial" w:hAnsi="Arial" w:cs="Arial"/>
          <w:i/>
          <w:sz w:val="20"/>
        </w:rPr>
        <w:t>Loại hình tập luyện:</w:t>
      </w:r>
    </w:p>
    <w:p w14:paraId="31720A61"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Nên lựa chọn các loại hình tập luyện có tính nhịp nhàng đều đặn, thời gian kéo dài như:</w:t>
      </w:r>
      <w:r w:rsidR="00B20509" w:rsidRPr="00FE7693">
        <w:rPr>
          <w:rFonts w:ascii="Arial" w:hAnsi="Arial" w:cs="Arial"/>
          <w:sz w:val="20"/>
        </w:rPr>
        <w:t xml:space="preserve"> </w:t>
      </w:r>
      <w:r w:rsidRPr="00FE7693">
        <w:rPr>
          <w:rFonts w:ascii="Arial" w:hAnsi="Arial" w:cs="Arial"/>
          <w:sz w:val="20"/>
        </w:rPr>
        <w:t>đi bộ, đạp xe, bơi lội, dưỡng sinh…</w:t>
      </w:r>
    </w:p>
    <w:p w14:paraId="7F04F3A7"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Tuy vậy, có thể tập bất cứ loại hình nào phù hợp với sức khỏe, tuổi tác, sở thích và điều kiện sống.</w:t>
      </w:r>
    </w:p>
    <w:p w14:paraId="7C045001"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Nếu có biến chứng ở mắt, tim, thận, bàn chân, nên hỏi ý kiến bác sĩ về loại hình luyện tập thích hợp. Thông thường trong các trường hợp này loại hình luyện tập phù hợp nhất là đi bộ.</w:t>
      </w:r>
    </w:p>
    <w:p w14:paraId="4C7E2209"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Nếu không có điều kiện tập liên tục 30 phút, có thể chia ra 2-3 lần/ngày, mỗi lần 5-10 phút. Miễn sao tập đều đặn.</w:t>
      </w:r>
    </w:p>
    <w:p w14:paraId="1DEC8DD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Luyện tập để tăng cường sức khỏe thể chất và tinh thần, ngoài công việc hàng ngày. Ví dụ một bà nội trợ đi chợ nấu ăn, quét dọn nhà cửa sẽ tiêu hao một số năng lượng, nhưng vẫn cần duy trì luyện tập thể lực mỗi ngày.</w:t>
      </w:r>
    </w:p>
    <w:p w14:paraId="170AFB8E"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Bảng 6.3. Tham khảo năng lượng kcalo tiêu thụ được sau 30 phút tập thể dục</w:t>
      </w:r>
    </w:p>
    <w:tbl>
      <w:tblPr>
        <w:tblW w:w="5000" w:type="pct"/>
        <w:tblCellMar>
          <w:left w:w="0" w:type="dxa"/>
          <w:right w:w="0" w:type="dxa"/>
        </w:tblCellMar>
        <w:tblLook w:val="0000" w:firstRow="0" w:lastRow="0" w:firstColumn="0" w:lastColumn="0" w:noHBand="0" w:noVBand="0"/>
      </w:tblPr>
      <w:tblGrid>
        <w:gridCol w:w="2795"/>
        <w:gridCol w:w="1051"/>
        <w:gridCol w:w="901"/>
        <w:gridCol w:w="901"/>
        <w:gridCol w:w="977"/>
        <w:gridCol w:w="899"/>
        <w:gridCol w:w="1106"/>
      </w:tblGrid>
      <w:tr w:rsidR="00766084" w:rsidRPr="00FE7693" w14:paraId="4CD2AF78"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1B6126C4" w14:textId="77777777" w:rsidR="00766084" w:rsidRPr="00FE7693" w:rsidRDefault="00766084"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Cân nặng (kg)</w:t>
            </w:r>
          </w:p>
        </w:tc>
        <w:tc>
          <w:tcPr>
            <w:tcW w:w="609" w:type="pct"/>
            <w:tcBorders>
              <w:top w:val="single" w:sz="4" w:space="0" w:color="000000"/>
              <w:left w:val="single" w:sz="4" w:space="0" w:color="000000"/>
              <w:bottom w:val="single" w:sz="4" w:space="0" w:color="000000"/>
              <w:right w:val="single" w:sz="4" w:space="0" w:color="000000"/>
            </w:tcBorders>
            <w:vAlign w:val="center"/>
          </w:tcPr>
          <w:p w14:paraId="7918FF2C" w14:textId="77777777" w:rsidR="00766084" w:rsidRPr="00FE7693" w:rsidRDefault="00766084"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50</w:t>
            </w:r>
          </w:p>
        </w:tc>
        <w:tc>
          <w:tcPr>
            <w:tcW w:w="522" w:type="pct"/>
            <w:tcBorders>
              <w:top w:val="single" w:sz="4" w:space="0" w:color="000000"/>
              <w:left w:val="single" w:sz="4" w:space="0" w:color="000000"/>
              <w:bottom w:val="single" w:sz="4" w:space="0" w:color="000000"/>
              <w:right w:val="single" w:sz="4" w:space="0" w:color="000000"/>
            </w:tcBorders>
            <w:vAlign w:val="center"/>
          </w:tcPr>
          <w:p w14:paraId="4F02303F" w14:textId="77777777" w:rsidR="00766084" w:rsidRPr="00FE7693" w:rsidRDefault="00766084"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60</w:t>
            </w:r>
          </w:p>
        </w:tc>
        <w:tc>
          <w:tcPr>
            <w:tcW w:w="522" w:type="pct"/>
            <w:tcBorders>
              <w:top w:val="single" w:sz="4" w:space="0" w:color="000000"/>
              <w:left w:val="single" w:sz="4" w:space="0" w:color="000000"/>
              <w:bottom w:val="single" w:sz="4" w:space="0" w:color="000000"/>
              <w:right w:val="single" w:sz="4" w:space="0" w:color="000000"/>
            </w:tcBorders>
            <w:vAlign w:val="center"/>
          </w:tcPr>
          <w:p w14:paraId="2201C511" w14:textId="77777777" w:rsidR="00766084" w:rsidRPr="00FE7693" w:rsidRDefault="00766084"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70</w:t>
            </w:r>
          </w:p>
        </w:tc>
        <w:tc>
          <w:tcPr>
            <w:tcW w:w="566" w:type="pct"/>
            <w:tcBorders>
              <w:top w:val="single" w:sz="4" w:space="0" w:color="000000"/>
              <w:left w:val="single" w:sz="4" w:space="0" w:color="000000"/>
              <w:bottom w:val="single" w:sz="4" w:space="0" w:color="000000"/>
              <w:right w:val="single" w:sz="4" w:space="0" w:color="000000"/>
            </w:tcBorders>
            <w:vAlign w:val="center"/>
          </w:tcPr>
          <w:p w14:paraId="38F1F165" w14:textId="77777777" w:rsidR="00766084" w:rsidRPr="00FE7693" w:rsidRDefault="00766084"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80</w:t>
            </w:r>
          </w:p>
        </w:tc>
        <w:tc>
          <w:tcPr>
            <w:tcW w:w="521" w:type="pct"/>
            <w:tcBorders>
              <w:top w:val="single" w:sz="4" w:space="0" w:color="000000"/>
              <w:left w:val="single" w:sz="4" w:space="0" w:color="000000"/>
              <w:bottom w:val="single" w:sz="4" w:space="0" w:color="000000"/>
              <w:right w:val="single" w:sz="4" w:space="0" w:color="000000"/>
            </w:tcBorders>
            <w:vAlign w:val="center"/>
          </w:tcPr>
          <w:p w14:paraId="34C68FD3" w14:textId="77777777" w:rsidR="00766084" w:rsidRPr="00FE7693" w:rsidRDefault="00766084"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90</w:t>
            </w:r>
          </w:p>
        </w:tc>
        <w:tc>
          <w:tcPr>
            <w:tcW w:w="641" w:type="pct"/>
            <w:tcBorders>
              <w:top w:val="single" w:sz="4" w:space="0" w:color="000000"/>
              <w:left w:val="single" w:sz="4" w:space="0" w:color="000000"/>
              <w:bottom w:val="single" w:sz="4" w:space="0" w:color="000000"/>
              <w:right w:val="single" w:sz="4" w:space="0" w:color="000000"/>
            </w:tcBorders>
            <w:vAlign w:val="center"/>
          </w:tcPr>
          <w:p w14:paraId="40886D37" w14:textId="77777777" w:rsidR="00766084" w:rsidRPr="00FE7693" w:rsidRDefault="00766084"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100</w:t>
            </w:r>
          </w:p>
        </w:tc>
      </w:tr>
      <w:tr w:rsidR="00766084" w:rsidRPr="00FE7693" w14:paraId="7986F9B9" w14:textId="77777777">
        <w:tblPrEx>
          <w:tblCellMar>
            <w:top w:w="0" w:type="dxa"/>
            <w:left w:w="0" w:type="dxa"/>
            <w:bottom w:w="0" w:type="dxa"/>
            <w:right w:w="0" w:type="dxa"/>
          </w:tblCellMar>
        </w:tblPrEx>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49A27C4A" w14:textId="77777777" w:rsidR="00766084" w:rsidRPr="00FE7693" w:rsidRDefault="00766084" w:rsidP="00FE7693">
            <w:pPr>
              <w:widowControl w:val="0"/>
              <w:autoSpaceDE w:val="0"/>
              <w:autoSpaceDN w:val="0"/>
              <w:adjustRightInd w:val="0"/>
              <w:spacing w:before="120"/>
              <w:rPr>
                <w:rFonts w:ascii="Arial" w:hAnsi="Arial" w:cs="Arial"/>
                <w:b/>
                <w:sz w:val="20"/>
              </w:rPr>
            </w:pPr>
            <w:r w:rsidRPr="00FE7693">
              <w:rPr>
                <w:rFonts w:ascii="Arial" w:hAnsi="Arial" w:cs="Arial"/>
                <w:b/>
                <w:sz w:val="20"/>
              </w:rPr>
              <w:t>Hoạt động trong phòng tập</w:t>
            </w:r>
          </w:p>
        </w:tc>
      </w:tr>
      <w:tr w:rsidR="00766084" w:rsidRPr="00FE7693" w14:paraId="2C25450A"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4A271C0D"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Aerobic: trung bình</w:t>
            </w:r>
          </w:p>
        </w:tc>
        <w:tc>
          <w:tcPr>
            <w:tcW w:w="609" w:type="pct"/>
            <w:tcBorders>
              <w:top w:val="single" w:sz="4" w:space="0" w:color="000000"/>
              <w:left w:val="single" w:sz="4" w:space="0" w:color="000000"/>
              <w:bottom w:val="single" w:sz="4" w:space="0" w:color="000000"/>
              <w:right w:val="single" w:sz="4" w:space="0" w:color="000000"/>
            </w:tcBorders>
            <w:vAlign w:val="center"/>
          </w:tcPr>
          <w:p w14:paraId="596C03A6"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149</w:t>
            </w:r>
          </w:p>
        </w:tc>
        <w:tc>
          <w:tcPr>
            <w:tcW w:w="522" w:type="pct"/>
            <w:tcBorders>
              <w:top w:val="single" w:sz="4" w:space="0" w:color="000000"/>
              <w:left w:val="single" w:sz="4" w:space="0" w:color="000000"/>
              <w:bottom w:val="single" w:sz="4" w:space="0" w:color="000000"/>
              <w:right w:val="single" w:sz="4" w:space="0" w:color="000000"/>
            </w:tcBorders>
            <w:vAlign w:val="center"/>
          </w:tcPr>
          <w:p w14:paraId="1FD4EAD9"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177</w:t>
            </w:r>
          </w:p>
        </w:tc>
        <w:tc>
          <w:tcPr>
            <w:tcW w:w="522" w:type="pct"/>
            <w:tcBorders>
              <w:top w:val="single" w:sz="4" w:space="0" w:color="000000"/>
              <w:left w:val="single" w:sz="4" w:space="0" w:color="000000"/>
              <w:bottom w:val="single" w:sz="4" w:space="0" w:color="000000"/>
              <w:right w:val="single" w:sz="4" w:space="0" w:color="000000"/>
            </w:tcBorders>
            <w:vAlign w:val="center"/>
          </w:tcPr>
          <w:p w14:paraId="46423DC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206</w:t>
            </w:r>
          </w:p>
        </w:tc>
        <w:tc>
          <w:tcPr>
            <w:tcW w:w="566" w:type="pct"/>
            <w:tcBorders>
              <w:top w:val="single" w:sz="4" w:space="0" w:color="000000"/>
              <w:left w:val="single" w:sz="4" w:space="0" w:color="000000"/>
              <w:bottom w:val="single" w:sz="4" w:space="0" w:color="000000"/>
              <w:right w:val="single" w:sz="4" w:space="0" w:color="000000"/>
            </w:tcBorders>
            <w:vAlign w:val="center"/>
          </w:tcPr>
          <w:p w14:paraId="7647F46B"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234</w:t>
            </w:r>
          </w:p>
        </w:tc>
        <w:tc>
          <w:tcPr>
            <w:tcW w:w="521" w:type="pct"/>
            <w:tcBorders>
              <w:top w:val="single" w:sz="4" w:space="0" w:color="000000"/>
              <w:left w:val="single" w:sz="4" w:space="0" w:color="000000"/>
              <w:bottom w:val="single" w:sz="4" w:space="0" w:color="000000"/>
              <w:right w:val="single" w:sz="4" w:space="0" w:color="000000"/>
            </w:tcBorders>
            <w:vAlign w:val="center"/>
          </w:tcPr>
          <w:p w14:paraId="4178AEDF"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263</w:t>
            </w:r>
          </w:p>
        </w:tc>
        <w:tc>
          <w:tcPr>
            <w:tcW w:w="641" w:type="pct"/>
            <w:tcBorders>
              <w:top w:val="single" w:sz="4" w:space="0" w:color="000000"/>
              <w:left w:val="single" w:sz="4" w:space="0" w:color="000000"/>
              <w:bottom w:val="single" w:sz="4" w:space="0" w:color="000000"/>
              <w:right w:val="single" w:sz="4" w:space="0" w:color="000000"/>
            </w:tcBorders>
            <w:vAlign w:val="center"/>
          </w:tcPr>
          <w:p w14:paraId="4DD9808B"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291</w:t>
            </w:r>
          </w:p>
        </w:tc>
      </w:tr>
      <w:tr w:rsidR="00766084" w:rsidRPr="00FE7693" w14:paraId="5AA5DF24"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2CD663BB"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Đạp xe: 16 km/h</w:t>
            </w:r>
          </w:p>
        </w:tc>
        <w:tc>
          <w:tcPr>
            <w:tcW w:w="609" w:type="pct"/>
            <w:tcBorders>
              <w:top w:val="single" w:sz="4" w:space="0" w:color="000000"/>
              <w:left w:val="single" w:sz="4" w:space="0" w:color="000000"/>
              <w:bottom w:val="single" w:sz="4" w:space="0" w:color="000000"/>
              <w:right w:val="single" w:sz="4" w:space="0" w:color="000000"/>
            </w:tcBorders>
            <w:vAlign w:val="center"/>
          </w:tcPr>
          <w:p w14:paraId="37BCC145"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163</w:t>
            </w:r>
          </w:p>
        </w:tc>
        <w:tc>
          <w:tcPr>
            <w:tcW w:w="522" w:type="pct"/>
            <w:tcBorders>
              <w:top w:val="single" w:sz="4" w:space="0" w:color="000000"/>
              <w:left w:val="single" w:sz="4" w:space="0" w:color="000000"/>
              <w:bottom w:val="single" w:sz="4" w:space="0" w:color="000000"/>
              <w:right w:val="single" w:sz="4" w:space="0" w:color="000000"/>
            </w:tcBorders>
            <w:vAlign w:val="center"/>
          </w:tcPr>
          <w:p w14:paraId="5F4F40B7"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195</w:t>
            </w:r>
          </w:p>
        </w:tc>
        <w:tc>
          <w:tcPr>
            <w:tcW w:w="522" w:type="pct"/>
            <w:tcBorders>
              <w:top w:val="single" w:sz="4" w:space="0" w:color="000000"/>
              <w:left w:val="single" w:sz="4" w:space="0" w:color="000000"/>
              <w:bottom w:val="single" w:sz="4" w:space="0" w:color="000000"/>
              <w:right w:val="single" w:sz="4" w:space="0" w:color="000000"/>
            </w:tcBorders>
            <w:vAlign w:val="center"/>
          </w:tcPr>
          <w:p w14:paraId="7E72A5B6"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226</w:t>
            </w:r>
          </w:p>
        </w:tc>
        <w:tc>
          <w:tcPr>
            <w:tcW w:w="566" w:type="pct"/>
            <w:tcBorders>
              <w:top w:val="single" w:sz="4" w:space="0" w:color="000000"/>
              <w:left w:val="single" w:sz="4" w:space="0" w:color="000000"/>
              <w:bottom w:val="single" w:sz="4" w:space="0" w:color="000000"/>
              <w:right w:val="single" w:sz="4" w:space="0" w:color="000000"/>
            </w:tcBorders>
            <w:vAlign w:val="center"/>
          </w:tcPr>
          <w:p w14:paraId="0F4C3347"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258</w:t>
            </w:r>
          </w:p>
        </w:tc>
        <w:tc>
          <w:tcPr>
            <w:tcW w:w="521" w:type="pct"/>
            <w:tcBorders>
              <w:top w:val="single" w:sz="4" w:space="0" w:color="000000"/>
              <w:left w:val="single" w:sz="4" w:space="0" w:color="000000"/>
              <w:bottom w:val="single" w:sz="4" w:space="0" w:color="000000"/>
              <w:right w:val="single" w:sz="4" w:space="0" w:color="000000"/>
            </w:tcBorders>
            <w:vAlign w:val="center"/>
          </w:tcPr>
          <w:p w14:paraId="7957DD84"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289</w:t>
            </w:r>
          </w:p>
        </w:tc>
        <w:tc>
          <w:tcPr>
            <w:tcW w:w="641" w:type="pct"/>
            <w:tcBorders>
              <w:top w:val="single" w:sz="4" w:space="0" w:color="000000"/>
              <w:left w:val="single" w:sz="4" w:space="0" w:color="000000"/>
              <w:bottom w:val="single" w:sz="4" w:space="0" w:color="000000"/>
              <w:right w:val="single" w:sz="4" w:space="0" w:color="000000"/>
            </w:tcBorders>
            <w:vAlign w:val="center"/>
          </w:tcPr>
          <w:p w14:paraId="3ADA1008"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321</w:t>
            </w:r>
          </w:p>
        </w:tc>
      </w:tr>
      <w:tr w:rsidR="00766084" w:rsidRPr="00FE7693" w14:paraId="50EBCA47"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286E58E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Chạy: 10km/h</w:t>
            </w:r>
          </w:p>
        </w:tc>
        <w:tc>
          <w:tcPr>
            <w:tcW w:w="609" w:type="pct"/>
            <w:tcBorders>
              <w:top w:val="single" w:sz="4" w:space="0" w:color="000000"/>
              <w:left w:val="single" w:sz="4" w:space="0" w:color="000000"/>
              <w:bottom w:val="single" w:sz="4" w:space="0" w:color="000000"/>
              <w:right w:val="single" w:sz="4" w:space="0" w:color="000000"/>
            </w:tcBorders>
            <w:vAlign w:val="center"/>
          </w:tcPr>
          <w:p w14:paraId="2C561E57"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260</w:t>
            </w:r>
          </w:p>
        </w:tc>
        <w:tc>
          <w:tcPr>
            <w:tcW w:w="522" w:type="pct"/>
            <w:tcBorders>
              <w:top w:val="single" w:sz="4" w:space="0" w:color="000000"/>
              <w:left w:val="single" w:sz="4" w:space="0" w:color="000000"/>
              <w:bottom w:val="single" w:sz="4" w:space="0" w:color="000000"/>
              <w:right w:val="single" w:sz="4" w:space="0" w:color="000000"/>
            </w:tcBorders>
            <w:vAlign w:val="center"/>
          </w:tcPr>
          <w:p w14:paraId="7ED6C9D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310</w:t>
            </w:r>
          </w:p>
        </w:tc>
        <w:tc>
          <w:tcPr>
            <w:tcW w:w="522" w:type="pct"/>
            <w:tcBorders>
              <w:top w:val="single" w:sz="4" w:space="0" w:color="000000"/>
              <w:left w:val="single" w:sz="4" w:space="0" w:color="000000"/>
              <w:bottom w:val="single" w:sz="4" w:space="0" w:color="000000"/>
              <w:right w:val="single" w:sz="4" w:space="0" w:color="000000"/>
            </w:tcBorders>
            <w:vAlign w:val="center"/>
          </w:tcPr>
          <w:p w14:paraId="11094B7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360</w:t>
            </w:r>
          </w:p>
        </w:tc>
        <w:tc>
          <w:tcPr>
            <w:tcW w:w="566" w:type="pct"/>
            <w:tcBorders>
              <w:top w:val="single" w:sz="4" w:space="0" w:color="000000"/>
              <w:left w:val="single" w:sz="4" w:space="0" w:color="000000"/>
              <w:bottom w:val="single" w:sz="4" w:space="0" w:color="000000"/>
              <w:right w:val="single" w:sz="4" w:space="0" w:color="000000"/>
            </w:tcBorders>
            <w:vAlign w:val="center"/>
          </w:tcPr>
          <w:p w14:paraId="2C9FF2E9"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410</w:t>
            </w:r>
          </w:p>
        </w:tc>
        <w:tc>
          <w:tcPr>
            <w:tcW w:w="521" w:type="pct"/>
            <w:tcBorders>
              <w:top w:val="single" w:sz="4" w:space="0" w:color="000000"/>
              <w:left w:val="single" w:sz="4" w:space="0" w:color="000000"/>
              <w:bottom w:val="single" w:sz="4" w:space="0" w:color="000000"/>
              <w:right w:val="single" w:sz="4" w:space="0" w:color="000000"/>
            </w:tcBorders>
            <w:vAlign w:val="center"/>
          </w:tcPr>
          <w:p w14:paraId="0F36ABB7"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460</w:t>
            </w:r>
          </w:p>
        </w:tc>
        <w:tc>
          <w:tcPr>
            <w:tcW w:w="641" w:type="pct"/>
            <w:tcBorders>
              <w:top w:val="single" w:sz="4" w:space="0" w:color="000000"/>
              <w:left w:val="single" w:sz="4" w:space="0" w:color="000000"/>
              <w:bottom w:val="single" w:sz="4" w:space="0" w:color="000000"/>
              <w:right w:val="single" w:sz="4" w:space="0" w:color="000000"/>
            </w:tcBorders>
            <w:vAlign w:val="center"/>
          </w:tcPr>
          <w:p w14:paraId="3F66418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510</w:t>
            </w:r>
          </w:p>
        </w:tc>
      </w:tr>
      <w:tr w:rsidR="00766084" w:rsidRPr="00FE7693" w14:paraId="0B0569EE"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00BBEC86"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Máy leo thang: trung bình</w:t>
            </w:r>
          </w:p>
        </w:tc>
        <w:tc>
          <w:tcPr>
            <w:tcW w:w="609" w:type="pct"/>
            <w:tcBorders>
              <w:top w:val="single" w:sz="4" w:space="0" w:color="000000"/>
              <w:left w:val="single" w:sz="4" w:space="0" w:color="000000"/>
              <w:bottom w:val="single" w:sz="4" w:space="0" w:color="000000"/>
              <w:right w:val="single" w:sz="4" w:space="0" w:color="000000"/>
            </w:tcBorders>
            <w:vAlign w:val="center"/>
          </w:tcPr>
          <w:p w14:paraId="446D8548"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158</w:t>
            </w:r>
          </w:p>
        </w:tc>
        <w:tc>
          <w:tcPr>
            <w:tcW w:w="522" w:type="pct"/>
            <w:tcBorders>
              <w:top w:val="single" w:sz="4" w:space="0" w:color="000000"/>
              <w:left w:val="single" w:sz="4" w:space="0" w:color="000000"/>
              <w:bottom w:val="single" w:sz="4" w:space="0" w:color="000000"/>
              <w:right w:val="single" w:sz="4" w:space="0" w:color="000000"/>
            </w:tcBorders>
            <w:vAlign w:val="center"/>
          </w:tcPr>
          <w:p w14:paraId="389EE244"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190</w:t>
            </w:r>
          </w:p>
        </w:tc>
        <w:tc>
          <w:tcPr>
            <w:tcW w:w="522" w:type="pct"/>
            <w:tcBorders>
              <w:top w:val="single" w:sz="4" w:space="0" w:color="000000"/>
              <w:left w:val="single" w:sz="4" w:space="0" w:color="000000"/>
              <w:bottom w:val="single" w:sz="4" w:space="0" w:color="000000"/>
              <w:right w:val="single" w:sz="4" w:space="0" w:color="000000"/>
            </w:tcBorders>
            <w:vAlign w:val="center"/>
          </w:tcPr>
          <w:p w14:paraId="425B181B"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222</w:t>
            </w:r>
          </w:p>
        </w:tc>
        <w:tc>
          <w:tcPr>
            <w:tcW w:w="566" w:type="pct"/>
            <w:tcBorders>
              <w:top w:val="single" w:sz="4" w:space="0" w:color="000000"/>
              <w:left w:val="single" w:sz="4" w:space="0" w:color="000000"/>
              <w:bottom w:val="single" w:sz="4" w:space="0" w:color="000000"/>
              <w:right w:val="single" w:sz="4" w:space="0" w:color="000000"/>
            </w:tcBorders>
            <w:vAlign w:val="center"/>
          </w:tcPr>
          <w:p w14:paraId="3BB88FA3"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253</w:t>
            </w:r>
          </w:p>
        </w:tc>
        <w:tc>
          <w:tcPr>
            <w:tcW w:w="521" w:type="pct"/>
            <w:tcBorders>
              <w:top w:val="single" w:sz="4" w:space="0" w:color="000000"/>
              <w:left w:val="single" w:sz="4" w:space="0" w:color="000000"/>
              <w:bottom w:val="single" w:sz="4" w:space="0" w:color="000000"/>
              <w:right w:val="single" w:sz="4" w:space="0" w:color="000000"/>
            </w:tcBorders>
            <w:vAlign w:val="center"/>
          </w:tcPr>
          <w:p w14:paraId="326B3329"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285</w:t>
            </w:r>
          </w:p>
        </w:tc>
        <w:tc>
          <w:tcPr>
            <w:tcW w:w="641" w:type="pct"/>
            <w:tcBorders>
              <w:top w:val="single" w:sz="4" w:space="0" w:color="000000"/>
              <w:left w:val="single" w:sz="4" w:space="0" w:color="000000"/>
              <w:bottom w:val="single" w:sz="4" w:space="0" w:color="000000"/>
              <w:right w:val="single" w:sz="4" w:space="0" w:color="000000"/>
            </w:tcBorders>
            <w:vAlign w:val="center"/>
          </w:tcPr>
          <w:p w14:paraId="559688A8"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317</w:t>
            </w:r>
          </w:p>
        </w:tc>
      </w:tr>
      <w:tr w:rsidR="00766084" w:rsidRPr="00FE7693" w14:paraId="36956804"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69BD7B3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Giãn duỗi / yoga Hatha</w:t>
            </w:r>
          </w:p>
        </w:tc>
        <w:tc>
          <w:tcPr>
            <w:tcW w:w="609" w:type="pct"/>
            <w:tcBorders>
              <w:top w:val="single" w:sz="4" w:space="0" w:color="000000"/>
              <w:left w:val="single" w:sz="4" w:space="0" w:color="000000"/>
              <w:bottom w:val="single" w:sz="4" w:space="0" w:color="000000"/>
              <w:right w:val="single" w:sz="4" w:space="0" w:color="000000"/>
            </w:tcBorders>
            <w:vAlign w:val="center"/>
          </w:tcPr>
          <w:p w14:paraId="252CF02F"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106</w:t>
            </w:r>
          </w:p>
        </w:tc>
        <w:tc>
          <w:tcPr>
            <w:tcW w:w="522" w:type="pct"/>
            <w:tcBorders>
              <w:top w:val="single" w:sz="4" w:space="0" w:color="000000"/>
              <w:left w:val="single" w:sz="4" w:space="0" w:color="000000"/>
              <w:bottom w:val="single" w:sz="4" w:space="0" w:color="000000"/>
              <w:right w:val="single" w:sz="4" w:space="0" w:color="000000"/>
            </w:tcBorders>
            <w:vAlign w:val="center"/>
          </w:tcPr>
          <w:p w14:paraId="4806F093"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127</w:t>
            </w:r>
          </w:p>
        </w:tc>
        <w:tc>
          <w:tcPr>
            <w:tcW w:w="522" w:type="pct"/>
            <w:tcBorders>
              <w:top w:val="single" w:sz="4" w:space="0" w:color="000000"/>
              <w:left w:val="single" w:sz="4" w:space="0" w:color="000000"/>
              <w:bottom w:val="single" w:sz="4" w:space="0" w:color="000000"/>
              <w:right w:val="single" w:sz="4" w:space="0" w:color="000000"/>
            </w:tcBorders>
            <w:vAlign w:val="center"/>
          </w:tcPr>
          <w:p w14:paraId="4D480567"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148</w:t>
            </w:r>
          </w:p>
        </w:tc>
        <w:tc>
          <w:tcPr>
            <w:tcW w:w="566" w:type="pct"/>
            <w:tcBorders>
              <w:top w:val="single" w:sz="4" w:space="0" w:color="000000"/>
              <w:left w:val="single" w:sz="4" w:space="0" w:color="000000"/>
              <w:bottom w:val="single" w:sz="4" w:space="0" w:color="000000"/>
              <w:right w:val="single" w:sz="4" w:space="0" w:color="000000"/>
            </w:tcBorders>
            <w:vAlign w:val="center"/>
          </w:tcPr>
          <w:p w14:paraId="5F041DA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169</w:t>
            </w:r>
          </w:p>
        </w:tc>
        <w:tc>
          <w:tcPr>
            <w:tcW w:w="521" w:type="pct"/>
            <w:tcBorders>
              <w:top w:val="single" w:sz="4" w:space="0" w:color="000000"/>
              <w:left w:val="single" w:sz="4" w:space="0" w:color="000000"/>
              <w:bottom w:val="single" w:sz="4" w:space="0" w:color="000000"/>
              <w:right w:val="single" w:sz="4" w:space="0" w:color="000000"/>
            </w:tcBorders>
            <w:vAlign w:val="center"/>
          </w:tcPr>
          <w:p w14:paraId="3BF181D4"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190</w:t>
            </w:r>
          </w:p>
        </w:tc>
        <w:tc>
          <w:tcPr>
            <w:tcW w:w="641" w:type="pct"/>
            <w:tcBorders>
              <w:top w:val="single" w:sz="4" w:space="0" w:color="000000"/>
              <w:left w:val="single" w:sz="4" w:space="0" w:color="000000"/>
              <w:bottom w:val="single" w:sz="4" w:space="0" w:color="000000"/>
              <w:right w:val="single" w:sz="4" w:space="0" w:color="000000"/>
            </w:tcBorders>
            <w:vAlign w:val="center"/>
          </w:tcPr>
          <w:p w14:paraId="3B0E81C6"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211</w:t>
            </w:r>
          </w:p>
        </w:tc>
      </w:tr>
      <w:tr w:rsidR="00766084" w:rsidRPr="00FE7693" w14:paraId="2837F02B"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1CC42830"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Đi bộ: bình thường 4km/h</w:t>
            </w:r>
          </w:p>
        </w:tc>
        <w:tc>
          <w:tcPr>
            <w:tcW w:w="609" w:type="pct"/>
            <w:tcBorders>
              <w:top w:val="single" w:sz="4" w:space="0" w:color="000000"/>
              <w:left w:val="single" w:sz="4" w:space="0" w:color="000000"/>
              <w:bottom w:val="single" w:sz="4" w:space="0" w:color="000000"/>
              <w:right w:val="single" w:sz="4" w:space="0" w:color="000000"/>
            </w:tcBorders>
            <w:vAlign w:val="center"/>
          </w:tcPr>
          <w:p w14:paraId="2C467EE6"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78</w:t>
            </w:r>
          </w:p>
        </w:tc>
        <w:tc>
          <w:tcPr>
            <w:tcW w:w="522" w:type="pct"/>
            <w:tcBorders>
              <w:top w:val="single" w:sz="4" w:space="0" w:color="000000"/>
              <w:left w:val="single" w:sz="4" w:space="0" w:color="000000"/>
              <w:bottom w:val="single" w:sz="4" w:space="0" w:color="000000"/>
              <w:right w:val="single" w:sz="4" w:space="0" w:color="000000"/>
            </w:tcBorders>
            <w:vAlign w:val="center"/>
          </w:tcPr>
          <w:p w14:paraId="277EFFA5"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93</w:t>
            </w:r>
          </w:p>
        </w:tc>
        <w:tc>
          <w:tcPr>
            <w:tcW w:w="522" w:type="pct"/>
            <w:tcBorders>
              <w:top w:val="single" w:sz="4" w:space="0" w:color="000000"/>
              <w:left w:val="single" w:sz="4" w:space="0" w:color="000000"/>
              <w:bottom w:val="single" w:sz="4" w:space="0" w:color="000000"/>
              <w:right w:val="single" w:sz="4" w:space="0" w:color="000000"/>
            </w:tcBorders>
            <w:vAlign w:val="center"/>
          </w:tcPr>
          <w:p w14:paraId="4E22185C"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108</w:t>
            </w:r>
          </w:p>
        </w:tc>
        <w:tc>
          <w:tcPr>
            <w:tcW w:w="566" w:type="pct"/>
            <w:tcBorders>
              <w:top w:val="single" w:sz="4" w:space="0" w:color="000000"/>
              <w:left w:val="single" w:sz="4" w:space="0" w:color="000000"/>
              <w:bottom w:val="single" w:sz="4" w:space="0" w:color="000000"/>
              <w:right w:val="single" w:sz="4" w:space="0" w:color="000000"/>
            </w:tcBorders>
            <w:vAlign w:val="center"/>
          </w:tcPr>
          <w:p w14:paraId="0D0D5CD6"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123</w:t>
            </w:r>
          </w:p>
        </w:tc>
        <w:tc>
          <w:tcPr>
            <w:tcW w:w="521" w:type="pct"/>
            <w:tcBorders>
              <w:top w:val="single" w:sz="4" w:space="0" w:color="000000"/>
              <w:left w:val="single" w:sz="4" w:space="0" w:color="000000"/>
              <w:bottom w:val="single" w:sz="4" w:space="0" w:color="000000"/>
              <w:right w:val="single" w:sz="4" w:space="0" w:color="000000"/>
            </w:tcBorders>
            <w:vAlign w:val="center"/>
          </w:tcPr>
          <w:p w14:paraId="54AF484B"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138</w:t>
            </w:r>
          </w:p>
        </w:tc>
        <w:tc>
          <w:tcPr>
            <w:tcW w:w="641" w:type="pct"/>
            <w:tcBorders>
              <w:top w:val="single" w:sz="4" w:space="0" w:color="000000"/>
              <w:left w:val="single" w:sz="4" w:space="0" w:color="000000"/>
              <w:bottom w:val="single" w:sz="4" w:space="0" w:color="000000"/>
              <w:right w:val="single" w:sz="4" w:space="0" w:color="000000"/>
            </w:tcBorders>
            <w:vAlign w:val="center"/>
          </w:tcPr>
          <w:p w14:paraId="63755B2E"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153</w:t>
            </w:r>
          </w:p>
        </w:tc>
      </w:tr>
      <w:tr w:rsidR="00766084" w:rsidRPr="00FE7693" w14:paraId="4F3DB8B2"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05057026"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Đi bộ: nhanh 7km/h</w:t>
            </w:r>
          </w:p>
        </w:tc>
        <w:tc>
          <w:tcPr>
            <w:tcW w:w="609" w:type="pct"/>
            <w:tcBorders>
              <w:top w:val="single" w:sz="4" w:space="0" w:color="000000"/>
              <w:left w:val="single" w:sz="4" w:space="0" w:color="000000"/>
              <w:bottom w:val="single" w:sz="4" w:space="0" w:color="000000"/>
              <w:right w:val="single" w:sz="4" w:space="0" w:color="000000"/>
            </w:tcBorders>
            <w:vAlign w:val="center"/>
          </w:tcPr>
          <w:p w14:paraId="3CAC231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149</w:t>
            </w:r>
          </w:p>
        </w:tc>
        <w:tc>
          <w:tcPr>
            <w:tcW w:w="522" w:type="pct"/>
            <w:tcBorders>
              <w:top w:val="single" w:sz="4" w:space="0" w:color="000000"/>
              <w:left w:val="single" w:sz="4" w:space="0" w:color="000000"/>
              <w:bottom w:val="single" w:sz="4" w:space="0" w:color="000000"/>
              <w:right w:val="single" w:sz="4" w:space="0" w:color="000000"/>
            </w:tcBorders>
            <w:vAlign w:val="center"/>
          </w:tcPr>
          <w:p w14:paraId="32CA2509"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177</w:t>
            </w:r>
          </w:p>
        </w:tc>
        <w:tc>
          <w:tcPr>
            <w:tcW w:w="522" w:type="pct"/>
            <w:tcBorders>
              <w:top w:val="single" w:sz="4" w:space="0" w:color="000000"/>
              <w:left w:val="single" w:sz="4" w:space="0" w:color="000000"/>
              <w:bottom w:val="single" w:sz="4" w:space="0" w:color="000000"/>
              <w:right w:val="single" w:sz="4" w:space="0" w:color="000000"/>
            </w:tcBorders>
            <w:vAlign w:val="center"/>
          </w:tcPr>
          <w:p w14:paraId="0FFB864A"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206</w:t>
            </w:r>
          </w:p>
        </w:tc>
        <w:tc>
          <w:tcPr>
            <w:tcW w:w="566" w:type="pct"/>
            <w:tcBorders>
              <w:top w:val="single" w:sz="4" w:space="0" w:color="000000"/>
              <w:left w:val="single" w:sz="4" w:space="0" w:color="000000"/>
              <w:bottom w:val="single" w:sz="4" w:space="0" w:color="000000"/>
              <w:right w:val="single" w:sz="4" w:space="0" w:color="000000"/>
            </w:tcBorders>
            <w:vAlign w:val="center"/>
          </w:tcPr>
          <w:p w14:paraId="3F5B8B5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234</w:t>
            </w:r>
          </w:p>
        </w:tc>
        <w:tc>
          <w:tcPr>
            <w:tcW w:w="521" w:type="pct"/>
            <w:tcBorders>
              <w:top w:val="single" w:sz="4" w:space="0" w:color="000000"/>
              <w:left w:val="single" w:sz="4" w:space="0" w:color="000000"/>
              <w:bottom w:val="single" w:sz="4" w:space="0" w:color="000000"/>
              <w:right w:val="single" w:sz="4" w:space="0" w:color="000000"/>
            </w:tcBorders>
            <w:vAlign w:val="center"/>
          </w:tcPr>
          <w:p w14:paraId="35FC7260"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263</w:t>
            </w:r>
          </w:p>
        </w:tc>
        <w:tc>
          <w:tcPr>
            <w:tcW w:w="641" w:type="pct"/>
            <w:tcBorders>
              <w:top w:val="single" w:sz="4" w:space="0" w:color="000000"/>
              <w:left w:val="single" w:sz="4" w:space="0" w:color="000000"/>
              <w:bottom w:val="single" w:sz="4" w:space="0" w:color="000000"/>
              <w:right w:val="single" w:sz="4" w:space="0" w:color="000000"/>
            </w:tcBorders>
            <w:vAlign w:val="center"/>
          </w:tcPr>
          <w:p w14:paraId="30BC9F72"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291</w:t>
            </w:r>
          </w:p>
        </w:tc>
      </w:tr>
      <w:tr w:rsidR="00766084" w:rsidRPr="00FE7693" w14:paraId="590CE9EA"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0DE36E2B"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Tập tạ: trung bình</w:t>
            </w:r>
          </w:p>
        </w:tc>
        <w:tc>
          <w:tcPr>
            <w:tcW w:w="609" w:type="pct"/>
            <w:tcBorders>
              <w:top w:val="single" w:sz="4" w:space="0" w:color="000000"/>
              <w:left w:val="single" w:sz="4" w:space="0" w:color="000000"/>
              <w:bottom w:val="single" w:sz="4" w:space="0" w:color="000000"/>
              <w:right w:val="single" w:sz="4" w:space="0" w:color="000000"/>
            </w:tcBorders>
            <w:vAlign w:val="center"/>
          </w:tcPr>
          <w:p w14:paraId="6906118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79</w:t>
            </w:r>
          </w:p>
        </w:tc>
        <w:tc>
          <w:tcPr>
            <w:tcW w:w="522" w:type="pct"/>
            <w:tcBorders>
              <w:top w:val="single" w:sz="4" w:space="0" w:color="000000"/>
              <w:left w:val="single" w:sz="4" w:space="0" w:color="000000"/>
              <w:bottom w:val="single" w:sz="4" w:space="0" w:color="000000"/>
              <w:right w:val="single" w:sz="4" w:space="0" w:color="000000"/>
            </w:tcBorders>
            <w:vAlign w:val="center"/>
          </w:tcPr>
          <w:p w14:paraId="28DA704F"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95</w:t>
            </w:r>
          </w:p>
        </w:tc>
        <w:tc>
          <w:tcPr>
            <w:tcW w:w="522" w:type="pct"/>
            <w:tcBorders>
              <w:top w:val="single" w:sz="4" w:space="0" w:color="000000"/>
              <w:left w:val="single" w:sz="4" w:space="0" w:color="000000"/>
              <w:bottom w:val="single" w:sz="4" w:space="0" w:color="000000"/>
              <w:right w:val="single" w:sz="4" w:space="0" w:color="000000"/>
            </w:tcBorders>
            <w:vAlign w:val="center"/>
          </w:tcPr>
          <w:p w14:paraId="5F13567F"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111</w:t>
            </w:r>
          </w:p>
        </w:tc>
        <w:tc>
          <w:tcPr>
            <w:tcW w:w="566" w:type="pct"/>
            <w:tcBorders>
              <w:top w:val="single" w:sz="4" w:space="0" w:color="000000"/>
              <w:left w:val="single" w:sz="4" w:space="0" w:color="000000"/>
              <w:bottom w:val="single" w:sz="4" w:space="0" w:color="000000"/>
              <w:right w:val="single" w:sz="4" w:space="0" w:color="000000"/>
            </w:tcBorders>
            <w:vAlign w:val="center"/>
          </w:tcPr>
          <w:p w14:paraId="03EA3123"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127</w:t>
            </w:r>
          </w:p>
        </w:tc>
        <w:tc>
          <w:tcPr>
            <w:tcW w:w="521" w:type="pct"/>
            <w:tcBorders>
              <w:top w:val="single" w:sz="4" w:space="0" w:color="000000"/>
              <w:left w:val="single" w:sz="4" w:space="0" w:color="000000"/>
              <w:bottom w:val="single" w:sz="4" w:space="0" w:color="000000"/>
              <w:right w:val="single" w:sz="4" w:space="0" w:color="000000"/>
            </w:tcBorders>
            <w:vAlign w:val="center"/>
          </w:tcPr>
          <w:p w14:paraId="4A6BCDE0"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143</w:t>
            </w:r>
          </w:p>
        </w:tc>
        <w:tc>
          <w:tcPr>
            <w:tcW w:w="641" w:type="pct"/>
            <w:tcBorders>
              <w:top w:val="single" w:sz="4" w:space="0" w:color="000000"/>
              <w:left w:val="single" w:sz="4" w:space="0" w:color="000000"/>
              <w:bottom w:val="single" w:sz="4" w:space="0" w:color="000000"/>
              <w:right w:val="single" w:sz="4" w:space="0" w:color="000000"/>
            </w:tcBorders>
            <w:vAlign w:val="center"/>
          </w:tcPr>
          <w:p w14:paraId="24C5F320"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158</w:t>
            </w:r>
          </w:p>
        </w:tc>
      </w:tr>
      <w:tr w:rsidR="00766084" w:rsidRPr="00FE7693" w14:paraId="38B85E24"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5F76A74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Thể thao</w:t>
            </w:r>
          </w:p>
        </w:tc>
        <w:tc>
          <w:tcPr>
            <w:tcW w:w="609" w:type="pct"/>
            <w:tcBorders>
              <w:top w:val="single" w:sz="4" w:space="0" w:color="000000"/>
              <w:left w:val="single" w:sz="4" w:space="0" w:color="000000"/>
              <w:bottom w:val="single" w:sz="4" w:space="0" w:color="000000"/>
              <w:right w:val="single" w:sz="4" w:space="0" w:color="000000"/>
            </w:tcBorders>
            <w:vAlign w:val="center"/>
          </w:tcPr>
          <w:p w14:paraId="65FD0106" w14:textId="77777777" w:rsidR="00766084" w:rsidRPr="00FE7693" w:rsidRDefault="00766084" w:rsidP="00FE7693">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14:paraId="361D2B08" w14:textId="77777777" w:rsidR="00766084" w:rsidRPr="00FE7693" w:rsidRDefault="00766084" w:rsidP="00FE7693">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14:paraId="1808A24F" w14:textId="77777777" w:rsidR="00766084" w:rsidRPr="00FE7693" w:rsidRDefault="00766084" w:rsidP="00FE7693">
            <w:pPr>
              <w:widowControl w:val="0"/>
              <w:autoSpaceDE w:val="0"/>
              <w:autoSpaceDN w:val="0"/>
              <w:adjustRightInd w:val="0"/>
              <w:spacing w:before="120"/>
              <w:jc w:val="center"/>
              <w:rPr>
                <w:rFonts w:ascii="Arial" w:hAnsi="Arial" w:cs="Arial"/>
                <w:sz w:val="20"/>
              </w:rPr>
            </w:pPr>
          </w:p>
        </w:tc>
        <w:tc>
          <w:tcPr>
            <w:tcW w:w="566" w:type="pct"/>
            <w:tcBorders>
              <w:top w:val="single" w:sz="4" w:space="0" w:color="000000"/>
              <w:left w:val="single" w:sz="4" w:space="0" w:color="000000"/>
              <w:bottom w:val="single" w:sz="4" w:space="0" w:color="000000"/>
              <w:right w:val="single" w:sz="4" w:space="0" w:color="000000"/>
            </w:tcBorders>
            <w:vAlign w:val="center"/>
          </w:tcPr>
          <w:p w14:paraId="1E47605B" w14:textId="77777777" w:rsidR="00766084" w:rsidRPr="00FE7693" w:rsidRDefault="00766084" w:rsidP="00FE7693">
            <w:pPr>
              <w:widowControl w:val="0"/>
              <w:autoSpaceDE w:val="0"/>
              <w:autoSpaceDN w:val="0"/>
              <w:adjustRightInd w:val="0"/>
              <w:spacing w:before="120"/>
              <w:jc w:val="center"/>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33484A9E" w14:textId="77777777" w:rsidR="00766084" w:rsidRPr="00FE7693" w:rsidRDefault="00766084" w:rsidP="00FE7693">
            <w:pPr>
              <w:widowControl w:val="0"/>
              <w:autoSpaceDE w:val="0"/>
              <w:autoSpaceDN w:val="0"/>
              <w:adjustRightInd w:val="0"/>
              <w:spacing w:before="120"/>
              <w:jc w:val="center"/>
              <w:rPr>
                <w:rFonts w:ascii="Arial" w:hAnsi="Arial" w:cs="Arial"/>
                <w:sz w:val="20"/>
              </w:rPr>
            </w:pPr>
          </w:p>
        </w:tc>
        <w:tc>
          <w:tcPr>
            <w:tcW w:w="641" w:type="pct"/>
            <w:tcBorders>
              <w:top w:val="single" w:sz="4" w:space="0" w:color="000000"/>
              <w:left w:val="single" w:sz="4" w:space="0" w:color="000000"/>
              <w:bottom w:val="single" w:sz="4" w:space="0" w:color="000000"/>
              <w:right w:val="single" w:sz="4" w:space="0" w:color="000000"/>
            </w:tcBorders>
            <w:vAlign w:val="center"/>
          </w:tcPr>
          <w:p w14:paraId="776354C7" w14:textId="77777777" w:rsidR="00766084" w:rsidRPr="00FE7693" w:rsidRDefault="00766084" w:rsidP="00FE7693">
            <w:pPr>
              <w:widowControl w:val="0"/>
              <w:autoSpaceDE w:val="0"/>
              <w:autoSpaceDN w:val="0"/>
              <w:adjustRightInd w:val="0"/>
              <w:spacing w:before="120"/>
              <w:jc w:val="center"/>
              <w:rPr>
                <w:rFonts w:ascii="Arial" w:hAnsi="Arial" w:cs="Arial"/>
                <w:sz w:val="20"/>
              </w:rPr>
            </w:pPr>
          </w:p>
        </w:tc>
      </w:tr>
      <w:tr w:rsidR="00766084" w:rsidRPr="00FE7693" w14:paraId="1CC72F14"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14004AB2"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Cầu lông</w:t>
            </w:r>
          </w:p>
        </w:tc>
        <w:tc>
          <w:tcPr>
            <w:tcW w:w="609" w:type="pct"/>
            <w:tcBorders>
              <w:top w:val="single" w:sz="4" w:space="0" w:color="000000"/>
              <w:left w:val="single" w:sz="4" w:space="0" w:color="000000"/>
              <w:bottom w:val="single" w:sz="4" w:space="0" w:color="000000"/>
              <w:right w:val="single" w:sz="4" w:space="0" w:color="000000"/>
            </w:tcBorders>
            <w:vAlign w:val="center"/>
          </w:tcPr>
          <w:p w14:paraId="6A3E4A4E"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119</w:t>
            </w:r>
          </w:p>
        </w:tc>
        <w:tc>
          <w:tcPr>
            <w:tcW w:w="522" w:type="pct"/>
            <w:tcBorders>
              <w:top w:val="single" w:sz="4" w:space="0" w:color="000000"/>
              <w:left w:val="single" w:sz="4" w:space="0" w:color="000000"/>
              <w:bottom w:val="single" w:sz="4" w:space="0" w:color="000000"/>
              <w:right w:val="single" w:sz="4" w:space="0" w:color="000000"/>
            </w:tcBorders>
            <w:vAlign w:val="center"/>
          </w:tcPr>
          <w:p w14:paraId="72B582A7"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143</w:t>
            </w:r>
          </w:p>
        </w:tc>
        <w:tc>
          <w:tcPr>
            <w:tcW w:w="522" w:type="pct"/>
            <w:tcBorders>
              <w:top w:val="single" w:sz="4" w:space="0" w:color="000000"/>
              <w:left w:val="single" w:sz="4" w:space="0" w:color="000000"/>
              <w:bottom w:val="single" w:sz="4" w:space="0" w:color="000000"/>
              <w:right w:val="single" w:sz="4" w:space="0" w:color="000000"/>
            </w:tcBorders>
            <w:vAlign w:val="center"/>
          </w:tcPr>
          <w:p w14:paraId="38622539"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166</w:t>
            </w:r>
          </w:p>
        </w:tc>
        <w:tc>
          <w:tcPr>
            <w:tcW w:w="566" w:type="pct"/>
            <w:tcBorders>
              <w:top w:val="single" w:sz="4" w:space="0" w:color="000000"/>
              <w:left w:val="single" w:sz="4" w:space="0" w:color="000000"/>
              <w:bottom w:val="single" w:sz="4" w:space="0" w:color="000000"/>
              <w:right w:val="single" w:sz="4" w:space="0" w:color="000000"/>
            </w:tcBorders>
            <w:vAlign w:val="center"/>
          </w:tcPr>
          <w:p w14:paraId="283ACC8E"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190</w:t>
            </w:r>
          </w:p>
        </w:tc>
        <w:tc>
          <w:tcPr>
            <w:tcW w:w="521" w:type="pct"/>
            <w:tcBorders>
              <w:top w:val="single" w:sz="4" w:space="0" w:color="000000"/>
              <w:left w:val="single" w:sz="4" w:space="0" w:color="000000"/>
              <w:bottom w:val="single" w:sz="4" w:space="0" w:color="000000"/>
              <w:right w:val="single" w:sz="4" w:space="0" w:color="000000"/>
            </w:tcBorders>
            <w:vAlign w:val="center"/>
          </w:tcPr>
          <w:p w14:paraId="72C63D0C"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214</w:t>
            </w:r>
          </w:p>
        </w:tc>
        <w:tc>
          <w:tcPr>
            <w:tcW w:w="641" w:type="pct"/>
            <w:tcBorders>
              <w:top w:val="single" w:sz="4" w:space="0" w:color="000000"/>
              <w:left w:val="single" w:sz="4" w:space="0" w:color="000000"/>
              <w:bottom w:val="single" w:sz="4" w:space="0" w:color="000000"/>
              <w:right w:val="single" w:sz="4" w:space="0" w:color="000000"/>
            </w:tcBorders>
            <w:vAlign w:val="center"/>
          </w:tcPr>
          <w:p w14:paraId="3A20F0EB"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238</w:t>
            </w:r>
          </w:p>
        </w:tc>
      </w:tr>
      <w:tr w:rsidR="00766084" w:rsidRPr="00FE7693" w14:paraId="4D942330"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2065E597"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Bi-a</w:t>
            </w:r>
          </w:p>
        </w:tc>
        <w:tc>
          <w:tcPr>
            <w:tcW w:w="609" w:type="pct"/>
            <w:tcBorders>
              <w:top w:val="single" w:sz="4" w:space="0" w:color="000000"/>
              <w:left w:val="single" w:sz="4" w:space="0" w:color="000000"/>
              <w:bottom w:val="single" w:sz="4" w:space="0" w:color="000000"/>
              <w:right w:val="single" w:sz="4" w:space="0" w:color="000000"/>
            </w:tcBorders>
            <w:vAlign w:val="center"/>
          </w:tcPr>
          <w:p w14:paraId="002584BC"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66</w:t>
            </w:r>
          </w:p>
        </w:tc>
        <w:tc>
          <w:tcPr>
            <w:tcW w:w="522" w:type="pct"/>
            <w:tcBorders>
              <w:top w:val="single" w:sz="4" w:space="0" w:color="000000"/>
              <w:left w:val="single" w:sz="4" w:space="0" w:color="000000"/>
              <w:bottom w:val="single" w:sz="4" w:space="0" w:color="000000"/>
              <w:right w:val="single" w:sz="4" w:space="0" w:color="000000"/>
            </w:tcBorders>
            <w:vAlign w:val="center"/>
          </w:tcPr>
          <w:p w14:paraId="3A61E096"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79</w:t>
            </w:r>
          </w:p>
        </w:tc>
        <w:tc>
          <w:tcPr>
            <w:tcW w:w="522" w:type="pct"/>
            <w:tcBorders>
              <w:top w:val="single" w:sz="4" w:space="0" w:color="000000"/>
              <w:left w:val="single" w:sz="4" w:space="0" w:color="000000"/>
              <w:bottom w:val="single" w:sz="4" w:space="0" w:color="000000"/>
              <w:right w:val="single" w:sz="4" w:space="0" w:color="000000"/>
            </w:tcBorders>
            <w:vAlign w:val="center"/>
          </w:tcPr>
          <w:p w14:paraId="57F1AE7D"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92</w:t>
            </w:r>
          </w:p>
        </w:tc>
        <w:tc>
          <w:tcPr>
            <w:tcW w:w="566" w:type="pct"/>
            <w:tcBorders>
              <w:top w:val="single" w:sz="4" w:space="0" w:color="000000"/>
              <w:left w:val="single" w:sz="4" w:space="0" w:color="000000"/>
              <w:bottom w:val="single" w:sz="4" w:space="0" w:color="000000"/>
              <w:right w:val="single" w:sz="4" w:space="0" w:color="000000"/>
            </w:tcBorders>
            <w:vAlign w:val="center"/>
          </w:tcPr>
          <w:p w14:paraId="6DBFCB06"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106</w:t>
            </w:r>
          </w:p>
        </w:tc>
        <w:tc>
          <w:tcPr>
            <w:tcW w:w="521" w:type="pct"/>
            <w:tcBorders>
              <w:top w:val="single" w:sz="4" w:space="0" w:color="000000"/>
              <w:left w:val="single" w:sz="4" w:space="0" w:color="000000"/>
              <w:bottom w:val="single" w:sz="4" w:space="0" w:color="000000"/>
              <w:right w:val="single" w:sz="4" w:space="0" w:color="000000"/>
            </w:tcBorders>
            <w:vAlign w:val="center"/>
          </w:tcPr>
          <w:p w14:paraId="71DC884F"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119</w:t>
            </w:r>
          </w:p>
        </w:tc>
        <w:tc>
          <w:tcPr>
            <w:tcW w:w="641" w:type="pct"/>
            <w:tcBorders>
              <w:top w:val="single" w:sz="4" w:space="0" w:color="000000"/>
              <w:left w:val="single" w:sz="4" w:space="0" w:color="000000"/>
              <w:bottom w:val="single" w:sz="4" w:space="0" w:color="000000"/>
              <w:right w:val="single" w:sz="4" w:space="0" w:color="000000"/>
            </w:tcBorders>
            <w:vAlign w:val="center"/>
          </w:tcPr>
          <w:p w14:paraId="34662487"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132</w:t>
            </w:r>
          </w:p>
        </w:tc>
      </w:tr>
      <w:tr w:rsidR="00766084" w:rsidRPr="00FE7693" w14:paraId="13B4F1ED"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4716C19A"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Nhảy</w:t>
            </w:r>
          </w:p>
        </w:tc>
        <w:tc>
          <w:tcPr>
            <w:tcW w:w="609" w:type="pct"/>
            <w:tcBorders>
              <w:top w:val="single" w:sz="4" w:space="0" w:color="000000"/>
              <w:left w:val="single" w:sz="4" w:space="0" w:color="000000"/>
              <w:bottom w:val="single" w:sz="4" w:space="0" w:color="000000"/>
              <w:right w:val="single" w:sz="4" w:space="0" w:color="000000"/>
            </w:tcBorders>
            <w:vAlign w:val="center"/>
          </w:tcPr>
          <w:p w14:paraId="4F0E10A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145</w:t>
            </w:r>
          </w:p>
        </w:tc>
        <w:tc>
          <w:tcPr>
            <w:tcW w:w="522" w:type="pct"/>
            <w:tcBorders>
              <w:top w:val="single" w:sz="4" w:space="0" w:color="000000"/>
              <w:left w:val="single" w:sz="4" w:space="0" w:color="000000"/>
              <w:bottom w:val="single" w:sz="4" w:space="0" w:color="000000"/>
              <w:right w:val="single" w:sz="4" w:space="0" w:color="000000"/>
            </w:tcBorders>
            <w:vAlign w:val="center"/>
          </w:tcPr>
          <w:p w14:paraId="69A0C89A"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174</w:t>
            </w:r>
          </w:p>
        </w:tc>
        <w:tc>
          <w:tcPr>
            <w:tcW w:w="522" w:type="pct"/>
            <w:tcBorders>
              <w:top w:val="single" w:sz="4" w:space="0" w:color="000000"/>
              <w:left w:val="single" w:sz="4" w:space="0" w:color="000000"/>
              <w:bottom w:val="single" w:sz="4" w:space="0" w:color="000000"/>
              <w:right w:val="single" w:sz="4" w:space="0" w:color="000000"/>
            </w:tcBorders>
            <w:vAlign w:val="center"/>
          </w:tcPr>
          <w:p w14:paraId="583CAD29"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203</w:t>
            </w:r>
          </w:p>
        </w:tc>
        <w:tc>
          <w:tcPr>
            <w:tcW w:w="566" w:type="pct"/>
            <w:tcBorders>
              <w:top w:val="single" w:sz="4" w:space="0" w:color="000000"/>
              <w:left w:val="single" w:sz="4" w:space="0" w:color="000000"/>
              <w:bottom w:val="single" w:sz="4" w:space="0" w:color="000000"/>
              <w:right w:val="single" w:sz="4" w:space="0" w:color="000000"/>
            </w:tcBorders>
            <w:vAlign w:val="center"/>
          </w:tcPr>
          <w:p w14:paraId="2ACBE958"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232</w:t>
            </w:r>
          </w:p>
        </w:tc>
        <w:tc>
          <w:tcPr>
            <w:tcW w:w="521" w:type="pct"/>
            <w:tcBorders>
              <w:top w:val="single" w:sz="4" w:space="0" w:color="000000"/>
              <w:left w:val="single" w:sz="4" w:space="0" w:color="000000"/>
              <w:bottom w:val="single" w:sz="4" w:space="0" w:color="000000"/>
              <w:right w:val="single" w:sz="4" w:space="0" w:color="000000"/>
            </w:tcBorders>
            <w:vAlign w:val="center"/>
          </w:tcPr>
          <w:p w14:paraId="6BC39A93"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261</w:t>
            </w:r>
          </w:p>
        </w:tc>
        <w:tc>
          <w:tcPr>
            <w:tcW w:w="641" w:type="pct"/>
            <w:tcBorders>
              <w:top w:val="single" w:sz="4" w:space="0" w:color="000000"/>
              <w:left w:val="single" w:sz="4" w:space="0" w:color="000000"/>
              <w:bottom w:val="single" w:sz="4" w:space="0" w:color="000000"/>
              <w:right w:val="single" w:sz="4" w:space="0" w:color="000000"/>
            </w:tcBorders>
            <w:vAlign w:val="center"/>
          </w:tcPr>
          <w:p w14:paraId="4A0DEFCA"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290</w:t>
            </w:r>
          </w:p>
        </w:tc>
      </w:tr>
      <w:tr w:rsidR="00766084" w:rsidRPr="00FE7693" w14:paraId="2F18C968"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1FB1C6E6"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Nhảy dây</w:t>
            </w:r>
          </w:p>
        </w:tc>
        <w:tc>
          <w:tcPr>
            <w:tcW w:w="609" w:type="pct"/>
            <w:tcBorders>
              <w:top w:val="single" w:sz="4" w:space="0" w:color="000000"/>
              <w:left w:val="single" w:sz="4" w:space="0" w:color="000000"/>
              <w:bottom w:val="single" w:sz="4" w:space="0" w:color="000000"/>
              <w:right w:val="single" w:sz="4" w:space="0" w:color="000000"/>
            </w:tcBorders>
            <w:vAlign w:val="center"/>
          </w:tcPr>
          <w:p w14:paraId="02282912"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264</w:t>
            </w:r>
          </w:p>
        </w:tc>
        <w:tc>
          <w:tcPr>
            <w:tcW w:w="522" w:type="pct"/>
            <w:tcBorders>
              <w:top w:val="single" w:sz="4" w:space="0" w:color="000000"/>
              <w:left w:val="single" w:sz="4" w:space="0" w:color="000000"/>
              <w:bottom w:val="single" w:sz="4" w:space="0" w:color="000000"/>
              <w:right w:val="single" w:sz="4" w:space="0" w:color="000000"/>
            </w:tcBorders>
            <w:vAlign w:val="center"/>
          </w:tcPr>
          <w:p w14:paraId="59BC3DE7"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317</w:t>
            </w:r>
          </w:p>
        </w:tc>
        <w:tc>
          <w:tcPr>
            <w:tcW w:w="522" w:type="pct"/>
            <w:tcBorders>
              <w:top w:val="single" w:sz="4" w:space="0" w:color="000000"/>
              <w:left w:val="single" w:sz="4" w:space="0" w:color="000000"/>
              <w:bottom w:val="single" w:sz="4" w:space="0" w:color="000000"/>
              <w:right w:val="single" w:sz="4" w:space="0" w:color="000000"/>
            </w:tcBorders>
            <w:vAlign w:val="center"/>
          </w:tcPr>
          <w:p w14:paraId="259FA0C3"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370</w:t>
            </w:r>
          </w:p>
        </w:tc>
        <w:tc>
          <w:tcPr>
            <w:tcW w:w="566" w:type="pct"/>
            <w:tcBorders>
              <w:top w:val="single" w:sz="4" w:space="0" w:color="000000"/>
              <w:left w:val="single" w:sz="4" w:space="0" w:color="000000"/>
              <w:bottom w:val="single" w:sz="4" w:space="0" w:color="000000"/>
              <w:right w:val="single" w:sz="4" w:space="0" w:color="000000"/>
            </w:tcBorders>
            <w:vAlign w:val="center"/>
          </w:tcPr>
          <w:p w14:paraId="77E71B26"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422</w:t>
            </w:r>
          </w:p>
        </w:tc>
        <w:tc>
          <w:tcPr>
            <w:tcW w:w="521" w:type="pct"/>
            <w:tcBorders>
              <w:top w:val="single" w:sz="4" w:space="0" w:color="000000"/>
              <w:left w:val="single" w:sz="4" w:space="0" w:color="000000"/>
              <w:bottom w:val="single" w:sz="4" w:space="0" w:color="000000"/>
              <w:right w:val="single" w:sz="4" w:space="0" w:color="000000"/>
            </w:tcBorders>
            <w:vAlign w:val="center"/>
          </w:tcPr>
          <w:p w14:paraId="7809777D"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475</w:t>
            </w:r>
          </w:p>
        </w:tc>
        <w:tc>
          <w:tcPr>
            <w:tcW w:w="641" w:type="pct"/>
            <w:tcBorders>
              <w:top w:val="single" w:sz="4" w:space="0" w:color="000000"/>
              <w:left w:val="single" w:sz="4" w:space="0" w:color="000000"/>
              <w:bottom w:val="single" w:sz="4" w:space="0" w:color="000000"/>
              <w:right w:val="single" w:sz="4" w:space="0" w:color="000000"/>
            </w:tcBorders>
            <w:vAlign w:val="center"/>
          </w:tcPr>
          <w:p w14:paraId="1E39EBD3"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528</w:t>
            </w:r>
          </w:p>
        </w:tc>
      </w:tr>
      <w:tr w:rsidR="00766084" w:rsidRPr="00FE7693" w14:paraId="4B11E710"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64F366C2"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Bóng đá</w:t>
            </w:r>
          </w:p>
        </w:tc>
        <w:tc>
          <w:tcPr>
            <w:tcW w:w="609" w:type="pct"/>
            <w:tcBorders>
              <w:top w:val="single" w:sz="4" w:space="0" w:color="000000"/>
              <w:left w:val="single" w:sz="4" w:space="0" w:color="000000"/>
              <w:bottom w:val="single" w:sz="4" w:space="0" w:color="000000"/>
              <w:right w:val="single" w:sz="4" w:space="0" w:color="000000"/>
            </w:tcBorders>
            <w:vAlign w:val="center"/>
          </w:tcPr>
          <w:p w14:paraId="68BA015B"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185</w:t>
            </w:r>
          </w:p>
        </w:tc>
        <w:tc>
          <w:tcPr>
            <w:tcW w:w="522" w:type="pct"/>
            <w:tcBorders>
              <w:top w:val="single" w:sz="4" w:space="0" w:color="000000"/>
              <w:left w:val="single" w:sz="4" w:space="0" w:color="000000"/>
              <w:bottom w:val="single" w:sz="4" w:space="0" w:color="000000"/>
              <w:right w:val="single" w:sz="4" w:space="0" w:color="000000"/>
            </w:tcBorders>
            <w:vAlign w:val="center"/>
          </w:tcPr>
          <w:p w14:paraId="42D2FAF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222</w:t>
            </w:r>
          </w:p>
        </w:tc>
        <w:tc>
          <w:tcPr>
            <w:tcW w:w="522" w:type="pct"/>
            <w:tcBorders>
              <w:top w:val="single" w:sz="4" w:space="0" w:color="000000"/>
              <w:left w:val="single" w:sz="4" w:space="0" w:color="000000"/>
              <w:bottom w:val="single" w:sz="4" w:space="0" w:color="000000"/>
              <w:right w:val="single" w:sz="4" w:space="0" w:color="000000"/>
            </w:tcBorders>
            <w:vAlign w:val="center"/>
          </w:tcPr>
          <w:p w14:paraId="32F1C532"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259</w:t>
            </w:r>
          </w:p>
        </w:tc>
        <w:tc>
          <w:tcPr>
            <w:tcW w:w="566" w:type="pct"/>
            <w:tcBorders>
              <w:top w:val="single" w:sz="4" w:space="0" w:color="000000"/>
              <w:left w:val="single" w:sz="4" w:space="0" w:color="000000"/>
              <w:bottom w:val="single" w:sz="4" w:space="0" w:color="000000"/>
              <w:right w:val="single" w:sz="4" w:space="0" w:color="000000"/>
            </w:tcBorders>
            <w:vAlign w:val="center"/>
          </w:tcPr>
          <w:p w14:paraId="0026DA3F"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296</w:t>
            </w:r>
          </w:p>
        </w:tc>
        <w:tc>
          <w:tcPr>
            <w:tcW w:w="521" w:type="pct"/>
            <w:tcBorders>
              <w:top w:val="single" w:sz="4" w:space="0" w:color="000000"/>
              <w:left w:val="single" w:sz="4" w:space="0" w:color="000000"/>
              <w:bottom w:val="single" w:sz="4" w:space="0" w:color="000000"/>
              <w:right w:val="single" w:sz="4" w:space="0" w:color="000000"/>
            </w:tcBorders>
            <w:vAlign w:val="center"/>
          </w:tcPr>
          <w:p w14:paraId="6D8F5683"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333</w:t>
            </w:r>
          </w:p>
        </w:tc>
        <w:tc>
          <w:tcPr>
            <w:tcW w:w="641" w:type="pct"/>
            <w:tcBorders>
              <w:top w:val="single" w:sz="4" w:space="0" w:color="000000"/>
              <w:left w:val="single" w:sz="4" w:space="0" w:color="000000"/>
              <w:bottom w:val="single" w:sz="4" w:space="0" w:color="000000"/>
              <w:right w:val="single" w:sz="4" w:space="0" w:color="000000"/>
            </w:tcBorders>
            <w:vAlign w:val="center"/>
          </w:tcPr>
          <w:p w14:paraId="2EF6BF34"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370</w:t>
            </w:r>
          </w:p>
        </w:tc>
      </w:tr>
      <w:tr w:rsidR="00766084" w:rsidRPr="00FE7693" w14:paraId="31B3092D"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08DA1AFF"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Bơi lội 25 m/phút</w:t>
            </w:r>
          </w:p>
        </w:tc>
        <w:tc>
          <w:tcPr>
            <w:tcW w:w="609" w:type="pct"/>
            <w:tcBorders>
              <w:top w:val="single" w:sz="4" w:space="0" w:color="000000"/>
              <w:left w:val="single" w:sz="4" w:space="0" w:color="000000"/>
              <w:bottom w:val="single" w:sz="4" w:space="0" w:color="000000"/>
              <w:right w:val="single" w:sz="4" w:space="0" w:color="000000"/>
            </w:tcBorders>
            <w:vAlign w:val="center"/>
          </w:tcPr>
          <w:p w14:paraId="324A555F"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123</w:t>
            </w:r>
          </w:p>
        </w:tc>
        <w:tc>
          <w:tcPr>
            <w:tcW w:w="522" w:type="pct"/>
            <w:tcBorders>
              <w:top w:val="single" w:sz="4" w:space="0" w:color="000000"/>
              <w:left w:val="single" w:sz="4" w:space="0" w:color="000000"/>
              <w:bottom w:val="single" w:sz="4" w:space="0" w:color="000000"/>
              <w:right w:val="single" w:sz="4" w:space="0" w:color="000000"/>
            </w:tcBorders>
            <w:vAlign w:val="center"/>
          </w:tcPr>
          <w:p w14:paraId="68B9E1D8"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146</w:t>
            </w:r>
          </w:p>
        </w:tc>
        <w:tc>
          <w:tcPr>
            <w:tcW w:w="522" w:type="pct"/>
            <w:tcBorders>
              <w:top w:val="single" w:sz="4" w:space="0" w:color="000000"/>
              <w:left w:val="single" w:sz="4" w:space="0" w:color="000000"/>
              <w:bottom w:val="single" w:sz="4" w:space="0" w:color="000000"/>
              <w:right w:val="single" w:sz="4" w:space="0" w:color="000000"/>
            </w:tcBorders>
            <w:vAlign w:val="center"/>
          </w:tcPr>
          <w:p w14:paraId="3E1A0E7C"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170</w:t>
            </w:r>
          </w:p>
        </w:tc>
        <w:tc>
          <w:tcPr>
            <w:tcW w:w="566" w:type="pct"/>
            <w:tcBorders>
              <w:top w:val="single" w:sz="4" w:space="0" w:color="000000"/>
              <w:left w:val="single" w:sz="4" w:space="0" w:color="000000"/>
              <w:bottom w:val="single" w:sz="4" w:space="0" w:color="000000"/>
              <w:right w:val="single" w:sz="4" w:space="0" w:color="000000"/>
            </w:tcBorders>
            <w:vAlign w:val="center"/>
          </w:tcPr>
          <w:p w14:paraId="08AA7DEC"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193</w:t>
            </w:r>
          </w:p>
        </w:tc>
        <w:tc>
          <w:tcPr>
            <w:tcW w:w="521" w:type="pct"/>
            <w:tcBorders>
              <w:top w:val="single" w:sz="4" w:space="0" w:color="000000"/>
              <w:left w:val="single" w:sz="4" w:space="0" w:color="000000"/>
              <w:bottom w:val="single" w:sz="4" w:space="0" w:color="000000"/>
              <w:right w:val="single" w:sz="4" w:space="0" w:color="000000"/>
            </w:tcBorders>
            <w:vAlign w:val="center"/>
          </w:tcPr>
          <w:p w14:paraId="0FAD762B"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217</w:t>
            </w:r>
          </w:p>
        </w:tc>
        <w:tc>
          <w:tcPr>
            <w:tcW w:w="641" w:type="pct"/>
            <w:tcBorders>
              <w:top w:val="single" w:sz="4" w:space="0" w:color="000000"/>
              <w:left w:val="single" w:sz="4" w:space="0" w:color="000000"/>
              <w:bottom w:val="single" w:sz="4" w:space="0" w:color="000000"/>
              <w:right w:val="single" w:sz="4" w:space="0" w:color="000000"/>
            </w:tcBorders>
            <w:vAlign w:val="center"/>
          </w:tcPr>
          <w:p w14:paraId="0C9B0247"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240</w:t>
            </w:r>
          </w:p>
        </w:tc>
      </w:tr>
      <w:tr w:rsidR="00766084" w:rsidRPr="00FE7693" w14:paraId="5B06E6A7"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3C73E3B5"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Thái cực quyền</w:t>
            </w:r>
          </w:p>
        </w:tc>
        <w:tc>
          <w:tcPr>
            <w:tcW w:w="609" w:type="pct"/>
            <w:tcBorders>
              <w:top w:val="single" w:sz="4" w:space="0" w:color="000000"/>
              <w:left w:val="single" w:sz="4" w:space="0" w:color="000000"/>
              <w:bottom w:val="single" w:sz="4" w:space="0" w:color="000000"/>
              <w:right w:val="single" w:sz="4" w:space="0" w:color="000000"/>
            </w:tcBorders>
            <w:vAlign w:val="center"/>
          </w:tcPr>
          <w:p w14:paraId="44F360DC"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106</w:t>
            </w:r>
          </w:p>
        </w:tc>
        <w:tc>
          <w:tcPr>
            <w:tcW w:w="522" w:type="pct"/>
            <w:tcBorders>
              <w:top w:val="single" w:sz="4" w:space="0" w:color="000000"/>
              <w:left w:val="single" w:sz="4" w:space="0" w:color="000000"/>
              <w:bottom w:val="single" w:sz="4" w:space="0" w:color="000000"/>
              <w:right w:val="single" w:sz="4" w:space="0" w:color="000000"/>
            </w:tcBorders>
            <w:vAlign w:val="center"/>
          </w:tcPr>
          <w:p w14:paraId="47D7A40D"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127</w:t>
            </w:r>
          </w:p>
        </w:tc>
        <w:tc>
          <w:tcPr>
            <w:tcW w:w="522" w:type="pct"/>
            <w:tcBorders>
              <w:top w:val="single" w:sz="4" w:space="0" w:color="000000"/>
              <w:left w:val="single" w:sz="4" w:space="0" w:color="000000"/>
              <w:bottom w:val="single" w:sz="4" w:space="0" w:color="000000"/>
              <w:right w:val="single" w:sz="4" w:space="0" w:color="000000"/>
            </w:tcBorders>
            <w:vAlign w:val="center"/>
          </w:tcPr>
          <w:p w14:paraId="36BD4F2E"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148</w:t>
            </w:r>
          </w:p>
        </w:tc>
        <w:tc>
          <w:tcPr>
            <w:tcW w:w="566" w:type="pct"/>
            <w:tcBorders>
              <w:top w:val="single" w:sz="4" w:space="0" w:color="000000"/>
              <w:left w:val="single" w:sz="4" w:space="0" w:color="000000"/>
              <w:bottom w:val="single" w:sz="4" w:space="0" w:color="000000"/>
              <w:right w:val="single" w:sz="4" w:space="0" w:color="000000"/>
            </w:tcBorders>
            <w:vAlign w:val="center"/>
          </w:tcPr>
          <w:p w14:paraId="179363FE"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169</w:t>
            </w:r>
          </w:p>
        </w:tc>
        <w:tc>
          <w:tcPr>
            <w:tcW w:w="521" w:type="pct"/>
            <w:tcBorders>
              <w:top w:val="single" w:sz="4" w:space="0" w:color="000000"/>
              <w:left w:val="single" w:sz="4" w:space="0" w:color="000000"/>
              <w:bottom w:val="single" w:sz="4" w:space="0" w:color="000000"/>
              <w:right w:val="single" w:sz="4" w:space="0" w:color="000000"/>
            </w:tcBorders>
            <w:vAlign w:val="center"/>
          </w:tcPr>
          <w:p w14:paraId="0C6FB74E"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190</w:t>
            </w:r>
          </w:p>
        </w:tc>
        <w:tc>
          <w:tcPr>
            <w:tcW w:w="641" w:type="pct"/>
            <w:tcBorders>
              <w:top w:val="single" w:sz="4" w:space="0" w:color="000000"/>
              <w:left w:val="single" w:sz="4" w:space="0" w:color="000000"/>
              <w:bottom w:val="single" w:sz="4" w:space="0" w:color="000000"/>
              <w:right w:val="single" w:sz="4" w:space="0" w:color="000000"/>
            </w:tcBorders>
            <w:vAlign w:val="center"/>
          </w:tcPr>
          <w:p w14:paraId="34D7EF5F"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211</w:t>
            </w:r>
          </w:p>
        </w:tc>
      </w:tr>
      <w:tr w:rsidR="00766084" w:rsidRPr="00FE7693" w14:paraId="1B84052D" w14:textId="77777777">
        <w:tblPrEx>
          <w:tblCellMar>
            <w:top w:w="0" w:type="dxa"/>
            <w:left w:w="0" w:type="dxa"/>
            <w:bottom w:w="0" w:type="dxa"/>
            <w:right w:w="0" w:type="dxa"/>
          </w:tblCellMar>
        </w:tblPrEx>
        <w:tc>
          <w:tcPr>
            <w:tcW w:w="1619" w:type="pct"/>
            <w:tcBorders>
              <w:top w:val="single" w:sz="4" w:space="0" w:color="000000"/>
              <w:left w:val="single" w:sz="4" w:space="0" w:color="000000"/>
              <w:bottom w:val="single" w:sz="4" w:space="0" w:color="000000"/>
              <w:right w:val="single" w:sz="4" w:space="0" w:color="000000"/>
            </w:tcBorders>
            <w:vAlign w:val="center"/>
          </w:tcPr>
          <w:p w14:paraId="32CB7806"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Quần vợt</w:t>
            </w:r>
          </w:p>
        </w:tc>
        <w:tc>
          <w:tcPr>
            <w:tcW w:w="609" w:type="pct"/>
            <w:tcBorders>
              <w:top w:val="single" w:sz="4" w:space="0" w:color="000000"/>
              <w:left w:val="single" w:sz="4" w:space="0" w:color="000000"/>
              <w:bottom w:val="single" w:sz="4" w:space="0" w:color="000000"/>
              <w:right w:val="single" w:sz="4" w:space="0" w:color="000000"/>
            </w:tcBorders>
            <w:vAlign w:val="center"/>
          </w:tcPr>
          <w:p w14:paraId="42C85279"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185</w:t>
            </w:r>
          </w:p>
        </w:tc>
        <w:tc>
          <w:tcPr>
            <w:tcW w:w="522" w:type="pct"/>
            <w:tcBorders>
              <w:top w:val="single" w:sz="4" w:space="0" w:color="000000"/>
              <w:left w:val="single" w:sz="4" w:space="0" w:color="000000"/>
              <w:bottom w:val="single" w:sz="4" w:space="0" w:color="000000"/>
              <w:right w:val="single" w:sz="4" w:space="0" w:color="000000"/>
            </w:tcBorders>
            <w:vAlign w:val="center"/>
          </w:tcPr>
          <w:p w14:paraId="1A10D310"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222</w:t>
            </w:r>
          </w:p>
        </w:tc>
        <w:tc>
          <w:tcPr>
            <w:tcW w:w="522" w:type="pct"/>
            <w:tcBorders>
              <w:top w:val="single" w:sz="4" w:space="0" w:color="000000"/>
              <w:left w:val="single" w:sz="4" w:space="0" w:color="000000"/>
              <w:bottom w:val="single" w:sz="4" w:space="0" w:color="000000"/>
              <w:right w:val="single" w:sz="4" w:space="0" w:color="000000"/>
            </w:tcBorders>
            <w:vAlign w:val="center"/>
          </w:tcPr>
          <w:p w14:paraId="127DBDE5"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259</w:t>
            </w:r>
          </w:p>
        </w:tc>
        <w:tc>
          <w:tcPr>
            <w:tcW w:w="566" w:type="pct"/>
            <w:tcBorders>
              <w:top w:val="single" w:sz="4" w:space="0" w:color="000000"/>
              <w:left w:val="single" w:sz="4" w:space="0" w:color="000000"/>
              <w:bottom w:val="single" w:sz="4" w:space="0" w:color="000000"/>
              <w:right w:val="single" w:sz="4" w:space="0" w:color="000000"/>
            </w:tcBorders>
            <w:vAlign w:val="center"/>
          </w:tcPr>
          <w:p w14:paraId="7CEAACB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296</w:t>
            </w:r>
          </w:p>
        </w:tc>
        <w:tc>
          <w:tcPr>
            <w:tcW w:w="521" w:type="pct"/>
            <w:tcBorders>
              <w:top w:val="single" w:sz="4" w:space="0" w:color="000000"/>
              <w:left w:val="single" w:sz="4" w:space="0" w:color="000000"/>
              <w:bottom w:val="single" w:sz="4" w:space="0" w:color="000000"/>
              <w:right w:val="single" w:sz="4" w:space="0" w:color="000000"/>
            </w:tcBorders>
            <w:vAlign w:val="center"/>
          </w:tcPr>
          <w:p w14:paraId="51EFEC79"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333</w:t>
            </w:r>
          </w:p>
        </w:tc>
        <w:tc>
          <w:tcPr>
            <w:tcW w:w="641" w:type="pct"/>
            <w:tcBorders>
              <w:top w:val="single" w:sz="4" w:space="0" w:color="000000"/>
              <w:left w:val="single" w:sz="4" w:space="0" w:color="000000"/>
              <w:bottom w:val="single" w:sz="4" w:space="0" w:color="000000"/>
              <w:right w:val="single" w:sz="4" w:space="0" w:color="000000"/>
            </w:tcBorders>
            <w:vAlign w:val="center"/>
          </w:tcPr>
          <w:p w14:paraId="7C4FC6A1"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370</w:t>
            </w:r>
          </w:p>
        </w:tc>
      </w:tr>
    </w:tbl>
    <w:p w14:paraId="32C75E66"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e.</w:t>
      </w:r>
      <w:r w:rsidR="001F364C" w:rsidRPr="00FE7693">
        <w:rPr>
          <w:rFonts w:ascii="Arial" w:hAnsi="Arial" w:cs="Arial"/>
          <w:i/>
          <w:sz w:val="20"/>
        </w:rPr>
        <w:t xml:space="preserve"> </w:t>
      </w:r>
      <w:r w:rsidRPr="00FE7693">
        <w:rPr>
          <w:rFonts w:ascii="Arial" w:hAnsi="Arial" w:cs="Arial"/>
          <w:i/>
          <w:sz w:val="20"/>
        </w:rPr>
        <w:t>Một số lưu ý trong vận động</w:t>
      </w:r>
    </w:p>
    <w:p w14:paraId="257D3ABC" w14:textId="77777777" w:rsidR="00766084" w:rsidRPr="00FE7693" w:rsidRDefault="00B20509"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Nhiều người có cuộc sống tĩnh tại, có rất ít kỹ năng hoạt động thể lực và rất khó để thúc đẩy hoạt động của họ. Vì vậy, các đối tượng này được khuyến cáo nên bắt đầu với chế độ vận động. Giảm thời gian tĩnh tại là phương pháp tiếp cận mới nhằm tăng cường hoạt động. Bệnh nhân được khuyến khích tham gia các hoạt động thể lực hàng ngày, ví dụ như nên đi cầu thang bộ hơn là đi thang máy hoặc thang cuốn. Khuyến khích các hoạt động thể lực tại các địa điểm an toàn như: công viên, nhà thi đấu, bể</w:t>
      </w:r>
      <w:r w:rsidRPr="00FE7693">
        <w:rPr>
          <w:rFonts w:ascii="Arial" w:hAnsi="Arial" w:cs="Arial"/>
          <w:sz w:val="20"/>
        </w:rPr>
        <w:t xml:space="preserve"> </w:t>
      </w:r>
      <w:r w:rsidR="00766084" w:rsidRPr="00FE7693">
        <w:rPr>
          <w:rFonts w:ascii="Arial" w:hAnsi="Arial" w:cs="Arial"/>
          <w:sz w:val="20"/>
        </w:rPr>
        <w:t>bơi, câu lạc bộ sức khỏe,… Tuy nhiên, nếu không dễ thực hiện, thì tận dụng khoảng không tại nhà với các thiết bị như: xe đạp tại chỗ hay thảm lăn hoặc các hình thức vận động phù hợp.</w:t>
      </w:r>
    </w:p>
    <w:p w14:paraId="5043034E" w14:textId="77777777" w:rsidR="00766084" w:rsidRPr="00FE7693" w:rsidRDefault="00B20509"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Điều cần thiết là tránh chấn thương khi vận động cường độ cao. Những người béo phì nặng cần bắt đầu với bài tập đơn giản sau đó tăng dần đều. Thầy thuốc phải quyết định chọn bài kiểm tra thể lực nào là cần thiết trước khi chọn một chế độ vận động cho bệnh nhân. Quyết định này nên được dựa vào tuổi tác, triệu chứng và các yếu tố nguy cơ nổi trội.</w:t>
      </w:r>
    </w:p>
    <w:p w14:paraId="35E2AC57" w14:textId="77777777" w:rsidR="00766084" w:rsidRPr="00FE7693" w:rsidRDefault="00B20509"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Đối với hầu hết người bệnh nhân béo phì, hoạt động thể lực nên được bắt đầu một cách chậm rãi và tăng dần. Hoạt động khởi đầu có thể là đi bộ hay bơi chậm. Tuỳ thuộc vào thời gian mắc bệnh, trọng lượng giảm được, thể trạng,…bệnh nhân có thể được tham gia các hoạt động nặng hơn, ví dụ như: đi bộ- tập thể hình, đi xe đạp, bơi thuyền, chạy, nhảy aerobic, nhảy dây,…Việc chạy bộ với cường độ cao có thể dẫn đến chấn thương. Các môn thể thao đối kháng, ví dụ như: quần vợt, bóng chuyền,…là hình thức hoạt động thích thú cho nhiều người nhưng phải cẩn thận để tránh chấn thương, đặc biệt ở người già.</w:t>
      </w:r>
    </w:p>
    <w:p w14:paraId="53FA59C0" w14:textId="77777777" w:rsidR="00766084" w:rsidRPr="00FE7693" w:rsidRDefault="00B20509"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Chế độ điều trị có thể thay đổi nhằm phù hợp với các hình thức khác của hoạt động thể lực, tuy nhiên, đi bộ đặc biệt vẫn được ưa chuộng vì tính an toàn và tính khả thi. Hiệu quả điều trị được nâng lên nếu bệnh nhân không dùng các thức ăn cao năng lượng.</w:t>
      </w:r>
    </w:p>
    <w:p w14:paraId="4651F3EA" w14:textId="77777777" w:rsidR="00766084" w:rsidRPr="00FE7693" w:rsidRDefault="00B20509"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Bệnh nhân nên nhờ các chuyên gia sức khỏe lên kế hoạch và lập thời khóa biểu mỗi</w:t>
      </w:r>
      <w:r w:rsidR="00ED1D1A" w:rsidRPr="00FE7693">
        <w:rPr>
          <w:rFonts w:ascii="Arial" w:hAnsi="Arial" w:cs="Arial"/>
          <w:sz w:val="20"/>
        </w:rPr>
        <w:t xml:space="preserve"> </w:t>
      </w:r>
      <w:r w:rsidR="00766084" w:rsidRPr="00FE7693">
        <w:rPr>
          <w:rFonts w:ascii="Arial" w:hAnsi="Arial" w:cs="Arial"/>
          <w:sz w:val="20"/>
        </w:rPr>
        <w:t>1 tuần, đồng thời ghi nhận các thông số sức khỏe khi vận động.</w:t>
      </w:r>
    </w:p>
    <w:p w14:paraId="510737B1"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6.2.3.</w:t>
      </w:r>
      <w:r w:rsidR="001F364C" w:rsidRPr="00FE7693">
        <w:rPr>
          <w:rFonts w:ascii="Arial" w:hAnsi="Arial" w:cs="Arial"/>
          <w:sz w:val="20"/>
        </w:rPr>
        <w:t xml:space="preserve"> </w:t>
      </w:r>
      <w:r w:rsidRPr="00FE7693">
        <w:rPr>
          <w:rFonts w:ascii="Arial" w:hAnsi="Arial" w:cs="Arial"/>
          <w:sz w:val="20"/>
        </w:rPr>
        <w:t>Tâm lý liệu pháp trong điều trị béo phì</w:t>
      </w:r>
    </w:p>
    <w:p w14:paraId="1CF0596B"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Tâm lý liệu pháp có thể được áp dụng không chỉ như một can thiệp hành vi được lập trình để kiểm soát cân nặng, mà còn cho mục đích thay đổi hành vi liên quan đến lượng thức ăn và hoạt động thể chất.</w:t>
      </w:r>
    </w:p>
    <w:p w14:paraId="4BA328B9"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Điều trị béo phì từ lâu đã được biết đến là hiệu quả hơn khi các can thiệp về lối sống bao gồm cả liệu pháp hành vi được thực hiện. Do đó, tất cả những người béo phì nên trải qua liệu pháp hành vi, cùng với liệu pháp dinh dưỡng và tăng cường hoạt động thể chất. Các phương pháp cụ thể được sử dụng trong liệu pháp hành vi bao gồm tự giám sát, củng cố, kiểm soát kích thích, hành vi thay thế và sự tái tạo nhận thức.</w:t>
      </w:r>
    </w:p>
    <w:p w14:paraId="4D5E2CA7"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Khi điều trị bệnh béo phì, điều rất quan trọng là chẩn đoán và điều trị bất kỳ rối loạn</w:t>
      </w:r>
      <w:r w:rsidRPr="00FE7693">
        <w:rPr>
          <w:rFonts w:ascii="Arial" w:hAnsi="Arial" w:cs="Arial"/>
          <w:sz w:val="20"/>
        </w:rPr>
        <w:t xml:space="preserve"> </w:t>
      </w:r>
      <w:r w:rsidR="00766084" w:rsidRPr="00FE7693">
        <w:rPr>
          <w:rFonts w:ascii="Arial" w:hAnsi="Arial" w:cs="Arial"/>
          <w:sz w:val="20"/>
        </w:rPr>
        <w:t>ăn uống nào đang có.</w:t>
      </w:r>
    </w:p>
    <w:p w14:paraId="30E3EEA4"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Khi điều trị béo phì, phải chấm dứt hoặc giảm hút thuốc và uống rượu. Những người béo phì nên được khuyên bỏ hút thuốc. Rượu có thể sinh năng lượng khoảng 7,0 kcal mỗi gam. Ngoài ra, hầu hết rượu được uống vào được chuyển thành axetat, cản trở chất béo ngoại vi phân hủy và sử dụng. Về mặt lâm sàng, rượu làm tăng huyết áp và uống quá nhiều làm tăng nguy cơ tăng triglycerid máu, kháng insulin, đái tháo đường típ 2, hội chứng chuyển hóa và béo bụng. Do đó, việc kiểm soát việc uống rượu quá mức là rất quan trọng đối với việc ngăn ngừa và kiểm soát bệnh béo phì và hội chứng chuyển hóa.</w:t>
      </w:r>
    </w:p>
    <w:p w14:paraId="3346D99A"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Hỗ trợ tâm lý bệnh nhân bằng cách chuyện trò hoặc sinh hoạt nhóm bên cạnh các lời khuyên về điều chỉnh chế độ ăn. Bệnh nhân thường bị trầm cảm, lo lắng thất bại trong điều trị.</w:t>
      </w:r>
    </w:p>
    <w:p w14:paraId="4016C27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6.2.4.</w:t>
      </w:r>
      <w:r w:rsidR="001F364C" w:rsidRPr="00FE7693">
        <w:rPr>
          <w:rFonts w:ascii="Arial" w:hAnsi="Arial" w:cs="Arial"/>
          <w:sz w:val="20"/>
        </w:rPr>
        <w:t xml:space="preserve"> </w:t>
      </w:r>
      <w:r w:rsidRPr="00FE7693">
        <w:rPr>
          <w:rFonts w:ascii="Arial" w:hAnsi="Arial" w:cs="Arial"/>
          <w:sz w:val="20"/>
        </w:rPr>
        <w:t>Thuốc</w:t>
      </w:r>
    </w:p>
    <w:p w14:paraId="442FEB35"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a.</w:t>
      </w:r>
      <w:r w:rsidR="001F364C" w:rsidRPr="00FE7693">
        <w:rPr>
          <w:rFonts w:ascii="Arial" w:hAnsi="Arial" w:cs="Arial"/>
          <w:i/>
          <w:sz w:val="20"/>
        </w:rPr>
        <w:t xml:space="preserve"> </w:t>
      </w:r>
      <w:r w:rsidRPr="00FE7693">
        <w:rPr>
          <w:rFonts w:ascii="Arial" w:hAnsi="Arial" w:cs="Arial"/>
          <w:i/>
          <w:sz w:val="20"/>
        </w:rPr>
        <w:t>Nguyên tắc chung khi sử dụng thuốc</w:t>
      </w:r>
    </w:p>
    <w:p w14:paraId="7D5F3A20"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Khuyến cáo mục tiêu chính là giảm 5-10% cân nặng trong 6 tháng sau khi bắt đầu</w:t>
      </w:r>
      <w:r w:rsidRPr="00FE7693">
        <w:rPr>
          <w:rFonts w:ascii="Arial" w:hAnsi="Arial" w:cs="Arial"/>
          <w:sz w:val="20"/>
        </w:rPr>
        <w:t xml:space="preserve"> </w:t>
      </w:r>
      <w:r w:rsidR="00766084" w:rsidRPr="00FE7693">
        <w:rPr>
          <w:rFonts w:ascii="Arial" w:hAnsi="Arial" w:cs="Arial"/>
          <w:sz w:val="20"/>
        </w:rPr>
        <w:t>điều trị.</w:t>
      </w:r>
    </w:p>
    <w:p w14:paraId="4945D0B7"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Thay đổi hành vi sức khỏe là nền tảng trong điều trị béo phì. Tuy nhiên thay đổi hành vi sức khỏe đơn thuần thường không đủ để đạt được mục tiêu điều trị béo phì. Thay đổi hành vi sức khỏe nhìn chung chỉ giảm 3-5% cân nặng, và thường không duy trì được trong thời gian dài.</w:t>
      </w:r>
    </w:p>
    <w:p w14:paraId="1664D653"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Thuốc điều trị béo phì nên được xem xét để giảm cân nặng và cải thiện chuyển hóa và/hoặc các chỉ số sức khỏe khi liệu pháp thay đổi hành vi sức khỏe đơn thuần tỏ ra không hiệu quả, không đủ hoặc không đạt được lợi ích bền vững.</w:t>
      </w:r>
    </w:p>
    <w:p w14:paraId="357ED976"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Trong trường hợp không đạt được mục tiêu giảm cân thông qua can thiệp lối sống ở bệnh nhân có chỉ số BMI ≥ 25 kg/</w:t>
      </w:r>
      <w:r w:rsidR="00940AB7" w:rsidRPr="00FE7693">
        <w:rPr>
          <w:rFonts w:ascii="Arial" w:hAnsi="Arial" w:cs="Arial"/>
          <w:sz w:val="20"/>
        </w:rPr>
        <w:t>m</w:t>
      </w:r>
      <w:r w:rsidR="00940AB7" w:rsidRPr="00FE7693">
        <w:rPr>
          <w:rFonts w:ascii="Arial" w:hAnsi="Arial" w:cs="Arial"/>
          <w:sz w:val="20"/>
          <w:vertAlign w:val="superscript"/>
        </w:rPr>
        <w:t>2</w:t>
      </w:r>
      <w:r w:rsidR="00766084" w:rsidRPr="00FE7693">
        <w:rPr>
          <w:rFonts w:ascii="Arial" w:hAnsi="Arial" w:cs="Arial"/>
          <w:sz w:val="20"/>
        </w:rPr>
        <w:t>, cần xem xét điều trị bằng thuốc. Hai loại thuốc được phê duyệt trong điều trị béo phì bao gồm: orlistat và liraglutide 3,0 mg.</w:t>
      </w:r>
    </w:p>
    <w:p w14:paraId="5E695D41"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Các thuốc khác không được phê duyệt cho điều trị béo phì.</w:t>
      </w:r>
    </w:p>
    <w:p w14:paraId="0B2B7B35"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b.</w:t>
      </w:r>
      <w:r w:rsidR="001F364C" w:rsidRPr="00FE7693">
        <w:rPr>
          <w:rFonts w:ascii="Arial" w:hAnsi="Arial" w:cs="Arial"/>
          <w:i/>
          <w:sz w:val="20"/>
        </w:rPr>
        <w:t xml:space="preserve"> </w:t>
      </w:r>
      <w:r w:rsidRPr="00FE7693">
        <w:rPr>
          <w:rFonts w:ascii="Arial" w:hAnsi="Arial" w:cs="Arial"/>
          <w:i/>
          <w:sz w:val="20"/>
        </w:rPr>
        <w:t>Những cân nhắc khi sử dụng thuốc điều trị béo phì</w:t>
      </w:r>
    </w:p>
    <w:p w14:paraId="1E2245A5"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Các yếu tố cần xem xét để quyết định lựa chọn loại thuốc phù hợp cho người thừa cân hoặc béo phì:</w:t>
      </w:r>
    </w:p>
    <w:p w14:paraId="23D696EC"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w:t>
      </w:r>
      <w:r w:rsidR="001F364C" w:rsidRPr="00FE7693">
        <w:rPr>
          <w:rFonts w:ascii="Arial" w:hAnsi="Arial" w:cs="Arial"/>
          <w:sz w:val="20"/>
        </w:rPr>
        <w:t xml:space="preserve"> </w:t>
      </w:r>
      <w:r w:rsidRPr="00FE7693">
        <w:rPr>
          <w:rFonts w:ascii="Arial" w:hAnsi="Arial" w:cs="Arial"/>
          <w:sz w:val="20"/>
        </w:rPr>
        <w:t>Nguyên nhân gây bệnh.</w:t>
      </w:r>
    </w:p>
    <w:p w14:paraId="7A689640"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w:t>
      </w:r>
      <w:r w:rsidR="001F364C" w:rsidRPr="00FE7693">
        <w:rPr>
          <w:rFonts w:ascii="Arial" w:hAnsi="Arial" w:cs="Arial"/>
          <w:sz w:val="20"/>
        </w:rPr>
        <w:t xml:space="preserve"> </w:t>
      </w:r>
      <w:r w:rsidRPr="00FE7693">
        <w:rPr>
          <w:rFonts w:ascii="Arial" w:hAnsi="Arial" w:cs="Arial"/>
          <w:sz w:val="20"/>
        </w:rPr>
        <w:t>Yếu tố tâm lý xã hội, cảm xúc và ý thích góp phần vào tình trạng béo phì: nên</w:t>
      </w:r>
      <w:r w:rsidR="00ED1D1A" w:rsidRPr="00FE7693">
        <w:rPr>
          <w:rFonts w:ascii="Arial" w:hAnsi="Arial" w:cs="Arial"/>
          <w:sz w:val="20"/>
        </w:rPr>
        <w:t xml:space="preserve"> </w:t>
      </w:r>
      <w:r w:rsidRPr="00FE7693">
        <w:rPr>
          <w:rFonts w:ascii="Arial" w:hAnsi="Arial" w:cs="Arial"/>
          <w:sz w:val="20"/>
        </w:rPr>
        <w:t>được chẩn đoán và xử trí nếu có thể.</w:t>
      </w:r>
    </w:p>
    <w:p w14:paraId="19591023"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Cơ chế tác dụng, tác dụng phụ, bất lợi, tính an toàn và khả năng dung nạp của mỗi thuốc phải được xem xét trong bối cảnh bệnh đồng mắc và các thuốc hiện đang điều trị của người bệnh.</w:t>
      </w:r>
    </w:p>
    <w:p w14:paraId="08CCBE00"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Chi phí thuốc cũng như đường dùng (uống hay tiêm dưới da) và tần suất sử dụng có thể là rào cản cho sự tuân trị: cần được thảo luận.</w:t>
      </w:r>
    </w:p>
    <w:p w14:paraId="31A1AAB7"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Rà soát những thuốc đang dùng có thể là tác nhân làm tăng cân: xem xét dùng thuốc thay thế nếu phù hợp.</w:t>
      </w:r>
    </w:p>
    <w:p w14:paraId="221F0879"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Nếu không đạt được tình trạng giảm cân có ý nghĩa lâm sàng với thuốc:</w:t>
      </w:r>
      <w:r w:rsidR="001F364C" w:rsidRPr="00FE7693">
        <w:rPr>
          <w:rFonts w:ascii="Arial" w:hAnsi="Arial" w:cs="Arial"/>
          <w:sz w:val="20"/>
        </w:rPr>
        <w:t xml:space="preserve"> </w:t>
      </w:r>
      <w:r w:rsidR="00766084" w:rsidRPr="00FE7693">
        <w:rPr>
          <w:rFonts w:ascii="Arial" w:hAnsi="Arial" w:cs="Arial"/>
          <w:sz w:val="20"/>
        </w:rPr>
        <w:t>cần đánh giá</w:t>
      </w:r>
      <w:r w:rsidRPr="00FE7693">
        <w:rPr>
          <w:rFonts w:ascii="Arial" w:hAnsi="Arial" w:cs="Arial"/>
          <w:sz w:val="20"/>
        </w:rPr>
        <w:t xml:space="preserve"> </w:t>
      </w:r>
      <w:r w:rsidR="00766084" w:rsidRPr="00FE7693">
        <w:rPr>
          <w:rFonts w:ascii="Arial" w:hAnsi="Arial" w:cs="Arial"/>
          <w:sz w:val="20"/>
        </w:rPr>
        <w:t>lại những yếu tố khác góp phần dẫn đến thất bại của việc dùng thuốc, bao gồm:</w:t>
      </w:r>
    </w:p>
    <w:p w14:paraId="1B94C334"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w:t>
      </w:r>
      <w:r w:rsidR="001F364C" w:rsidRPr="00FE7693">
        <w:rPr>
          <w:rFonts w:ascii="Arial" w:hAnsi="Arial" w:cs="Arial"/>
          <w:sz w:val="20"/>
        </w:rPr>
        <w:t xml:space="preserve"> </w:t>
      </w:r>
      <w:r w:rsidRPr="00FE7693">
        <w:rPr>
          <w:rFonts w:ascii="Arial" w:hAnsi="Arial" w:cs="Arial"/>
          <w:sz w:val="20"/>
        </w:rPr>
        <w:t>Liều dùng không phù hợp hoặc không tuân trị</w:t>
      </w:r>
    </w:p>
    <w:p w14:paraId="3511730A"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w:t>
      </w:r>
      <w:r w:rsidR="001F364C" w:rsidRPr="00FE7693">
        <w:rPr>
          <w:rFonts w:ascii="Arial" w:hAnsi="Arial" w:cs="Arial"/>
          <w:sz w:val="20"/>
        </w:rPr>
        <w:t xml:space="preserve"> </w:t>
      </w:r>
      <w:r w:rsidRPr="00FE7693">
        <w:rPr>
          <w:rFonts w:ascii="Arial" w:hAnsi="Arial" w:cs="Arial"/>
          <w:sz w:val="20"/>
        </w:rPr>
        <w:t>Những rào cản của việc thay đổi hành vi sức khỏe</w:t>
      </w:r>
    </w:p>
    <w:p w14:paraId="7977159B"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w:t>
      </w:r>
      <w:r w:rsidR="001F364C" w:rsidRPr="00FE7693">
        <w:rPr>
          <w:rFonts w:ascii="Arial" w:hAnsi="Arial" w:cs="Arial"/>
          <w:sz w:val="20"/>
        </w:rPr>
        <w:t xml:space="preserve"> </w:t>
      </w:r>
      <w:r w:rsidRPr="00FE7693">
        <w:rPr>
          <w:rFonts w:ascii="Arial" w:hAnsi="Arial" w:cs="Arial"/>
          <w:sz w:val="20"/>
        </w:rPr>
        <w:t>Những vấn đề về tâm lý xã hội hoặc y tế</w:t>
      </w:r>
    </w:p>
    <w:p w14:paraId="6884C661"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Mỗi cá nhân đáp ứng điều trị khác nhau với từng loại thuốc. Cân nhắc thay đổi thuốc hoặc liệu pháp điều trị béo phì khác nếu không đạt được hiệu quả giảm cân trên lâm sàng đáng kể sau ba tháng dùng liều đủ/tối đa, dung nạp được và không có bằng chứng về nguyên nhân khác gây thất bại.</w:t>
      </w:r>
    </w:p>
    <w:p w14:paraId="48BB66CE"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Khuyến cáo ngưng thuốc điều trị béo phì nếu không đạt được giảm ≥ 5% cân nặng sau ba tháng dùng liều điều trị. Tuy nhiên, thuốc cũng có thể được sử dụng để duy trì sự giảm cân đạt được bằng một liệu pháp thay đổi hành vi sức khỏe trước đó hoặc một chế độ ăn năng lượng rất thấp.</w:t>
      </w:r>
    </w:p>
    <w:p w14:paraId="5863D86F"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szCs w:val="22"/>
        </w:rPr>
        <w:t xml:space="preserve">- </w:t>
      </w:r>
      <w:r w:rsidR="00766084" w:rsidRPr="00FE7693">
        <w:rPr>
          <w:rFonts w:ascii="Arial" w:hAnsi="Arial" w:cs="Arial"/>
          <w:sz w:val="20"/>
        </w:rPr>
        <w:t>Thuốc điều trị béo phì được dự định là một phần của chiến lược điều trị lâu dài. Tăng cân trở lại sau khi ngưng các điều trị tích cực được chứng minh trong các thử nghiệm lâm sàng đối với các thuốc điều trị béo phì.</w:t>
      </w:r>
    </w:p>
    <w:p w14:paraId="0972EDDF" w14:textId="77777777" w:rsidR="00766084" w:rsidRPr="00FE7693" w:rsidRDefault="00ED1D1A"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Không khuyến cáo dùng thuốc điều trị béo phì trên phụ nữ mang thai và cho con bú, hoặc phụ nữ đang chuẩn bị có thai. Không có dữ liệu sẵn thông tin về thời điểm ngưng thuốc điều trị béo phì trước khi thụ thai.</w:t>
      </w:r>
    </w:p>
    <w:p w14:paraId="191C4BCC"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c.</w:t>
      </w:r>
      <w:r w:rsidR="001F364C" w:rsidRPr="00FE7693">
        <w:rPr>
          <w:rFonts w:ascii="Arial" w:hAnsi="Arial" w:cs="Arial"/>
          <w:i/>
          <w:sz w:val="20"/>
        </w:rPr>
        <w:t xml:space="preserve"> </w:t>
      </w:r>
      <w:r w:rsidRPr="00FE7693">
        <w:rPr>
          <w:rFonts w:ascii="Arial" w:hAnsi="Arial" w:cs="Arial"/>
          <w:i/>
          <w:sz w:val="20"/>
        </w:rPr>
        <w:t>Thuốc được phê duyệt cho điều trị béo phì</w:t>
      </w:r>
    </w:p>
    <w:p w14:paraId="6D948508" w14:textId="77777777" w:rsidR="00766084" w:rsidRPr="00FE7693" w:rsidRDefault="00D97FF6"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Orlistat</w:t>
      </w:r>
    </w:p>
    <w:p w14:paraId="75C07F63"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Cơ chế: Orlistat, một dẫn xuất của lipstatin bán tổng hợp, được phê duyệt là thuốc điều trị béo phì. Đây là một chất ức chế mạnh có chọn lọc men lipase tụy, vì vậy ức chế sự thoái giáng triglyceride trong thức ăn thành acid béo tự do có khả năng hấp thụ. Orlistat không tác động đặc hiệu lên cơ chế no hoặc thèm ăn.</w:t>
      </w:r>
    </w:p>
    <w:p w14:paraId="74E3DFFD"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Liều dùng: 120 mg, ba lần mỗi ngày (uống trong hoặc sau ăn 1 giờ) để giảm cân hoặc giảm nguy cơ tăng cân trở lại ở người bệnh có BMI ≥ 30 kg/</w:t>
      </w:r>
      <w:r w:rsidR="00940AB7" w:rsidRPr="00FE7693">
        <w:rPr>
          <w:rFonts w:ascii="Arial" w:hAnsi="Arial" w:cs="Arial"/>
          <w:sz w:val="20"/>
        </w:rPr>
        <w:t>m</w:t>
      </w:r>
      <w:r w:rsidR="00940AB7" w:rsidRPr="00FE7693">
        <w:rPr>
          <w:rFonts w:ascii="Arial" w:hAnsi="Arial" w:cs="Arial"/>
          <w:sz w:val="20"/>
          <w:vertAlign w:val="superscript"/>
        </w:rPr>
        <w:t>2</w:t>
      </w:r>
      <w:r w:rsidRPr="00FE7693">
        <w:rPr>
          <w:rFonts w:ascii="Arial" w:hAnsi="Arial" w:cs="Arial"/>
          <w:sz w:val="20"/>
          <w:szCs w:val="16"/>
        </w:rPr>
        <w:t xml:space="preserve"> </w:t>
      </w:r>
      <w:r w:rsidRPr="00FE7693">
        <w:rPr>
          <w:rFonts w:ascii="Arial" w:hAnsi="Arial" w:cs="Arial"/>
          <w:sz w:val="20"/>
        </w:rPr>
        <w:t>hoặc BMI ≥</w:t>
      </w:r>
      <w:r w:rsidR="00D97FF6" w:rsidRPr="00FE7693">
        <w:rPr>
          <w:rFonts w:ascii="Arial" w:hAnsi="Arial" w:cs="Arial"/>
          <w:sz w:val="20"/>
        </w:rPr>
        <w:t xml:space="preserve"> </w:t>
      </w:r>
      <w:r w:rsidRPr="00FE7693">
        <w:rPr>
          <w:rFonts w:ascii="Arial" w:hAnsi="Arial" w:cs="Arial"/>
          <w:sz w:val="20"/>
        </w:rPr>
        <w:t>27 kg/</w:t>
      </w:r>
      <w:r w:rsidR="00940AB7" w:rsidRPr="00FE7693">
        <w:rPr>
          <w:rFonts w:ascii="Arial" w:hAnsi="Arial" w:cs="Arial"/>
          <w:sz w:val="20"/>
        </w:rPr>
        <w:t>m</w:t>
      </w:r>
      <w:r w:rsidR="00940AB7" w:rsidRPr="00FE7693">
        <w:rPr>
          <w:rFonts w:ascii="Arial" w:hAnsi="Arial" w:cs="Arial"/>
          <w:sz w:val="20"/>
          <w:vertAlign w:val="superscript"/>
        </w:rPr>
        <w:t>2</w:t>
      </w:r>
      <w:r w:rsidRPr="00FE7693">
        <w:rPr>
          <w:rFonts w:ascii="Arial" w:hAnsi="Arial" w:cs="Arial"/>
          <w:sz w:val="20"/>
          <w:szCs w:val="16"/>
        </w:rPr>
        <w:t xml:space="preserve"> </w:t>
      </w:r>
      <w:r w:rsidRPr="00FE7693">
        <w:rPr>
          <w:rFonts w:ascii="Arial" w:hAnsi="Arial" w:cs="Arial"/>
          <w:sz w:val="20"/>
        </w:rPr>
        <w:t>kèm theo bệnh đồng mắc (ví dụ: tăng huyết áp, đái tháo đường típ 2, rối loạn lipid máu, mỡ thừa ở tạng).</w:t>
      </w:r>
    </w:p>
    <w:p w14:paraId="6514E3D2"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Tác dụng phụ: Orlistat có nhiều tác dụng bất lợi trên dạ dày ruột, bao gồm đi cầu phân có mỡ, trung tiện và tăng thải phân. Orlistat có thể làm ảnh hưởng đến sự hấp thụ vitamin tan trong chất béo (A, D, E, K).</w:t>
      </w:r>
    </w:p>
    <w:p w14:paraId="6D74D351"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Chống chỉ định: ở người có hội chứng kém hấp thu mạn tính hay ứ mật. Một vài bệnh nhân có thể xuất hiện sỏi oxalate niệu với mức độ tăng dần khi dùng orlistat; bệnh thận oxalate với suy thận đã được ghi nhận. Một số trường hợp hiếm gặp có tổn thương gan nặng hoặc suy gan cấp.</w:t>
      </w:r>
    </w:p>
    <w:p w14:paraId="35DBB713"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Lưu ý: Vì orlistat có thể làm ảnh hưởng đến sự hấp thu vitamin K, chỉ số INR (international normalized ratio) nên được theo dõi sát khi dùng kèm thuốc kháng đông đường uống. Orlistat có thể ảnh hưởng sự hấp thu levothyroxine và/hoặc muối iodine, người bệnh đang dùng levothyroxine nên được theo dõi sự thay đổi chức năng tuyến giáp. Giảm nồng độ cyclosporine huyết tương đã được ghi nhận khi uống kèm orlistat; vì vậy, theo dõi nồng độ cyclosporine thường xuyên hơn được khuyến cáo. Orlistat có thể ảnh hưởng đến sự hấp thu thuốc chống co giật, vì vậy người bệnh đang dùng thuốc chống co giật nên được theo dõi những thay đổi có thể xảy ra về tần số và/hoặc mức độ nặng của tình trạng co giật. Ngoài ra, vì orlistat thường gây ra tác dụng phụ ở dạ dày ruột nên cũng làm hạn chế việc sử dụng thuốc trong điều trị béo phì.</w:t>
      </w:r>
    </w:p>
    <w:p w14:paraId="490B1610" w14:textId="77777777" w:rsidR="00766084" w:rsidRPr="00FE7693" w:rsidRDefault="00D97FF6"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766084" w:rsidRPr="00FE7693">
        <w:rPr>
          <w:rFonts w:ascii="Arial" w:hAnsi="Arial" w:cs="Arial"/>
          <w:sz w:val="20"/>
        </w:rPr>
        <w:t>Liraglutide</w:t>
      </w:r>
    </w:p>
    <w:p w14:paraId="495A4C90"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Cơ chế: Liraglutide là glucagon-like peptide 1 (GLP-1) analog người, sử dụng hàng ngày dưới dạng tiêm dưới da tác động trung ương lên neuron pro- opiomelanocortin (POMC)/CART nhằm tăng cảm giác no, giảm cảm giác đói, với tác dụng giảm sự làm trống dạ dày thoáng qua.</w:t>
      </w:r>
    </w:p>
    <w:p w14:paraId="2838079B"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Liều dùng: Liraglutide được phê duyệt ở Việt Nam năm 2021 trong điều trị béo phì mạn tính ở liều 3,0mg mỗi ngày, ở người bệnh có hoặc không có đái tháo đường típ 2. Liều khởi đầu khuyến cáo của liraglutide là 0,6mg mỗi ngày, tăng dần 0,6 mg sau mỗi tuần cho đến khi đạt được liều mục tiêu 3,0 mg.</w:t>
      </w:r>
    </w:p>
    <w:p w14:paraId="0888903E"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Tác dụng phụ: thường gặp nhất của liraglutide là buồn nôn do giảm thoáng qua sự trống dạ dày. Người bệnh có thể gặp táo bón, tiêu chảy, ợ nóng và/hoặc nôn. Chỉnh liều chậm hơn có thể giúp giảm nhẹ tác dụng phụ dạ dày ruột nếu có. Nguy cơ xuất hiện sỏi mật với liraglutide cao hơn 1.4% so với giả dược.</w:t>
      </w:r>
    </w:p>
    <w:p w14:paraId="7A124036"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Chống chỉ định trên bệnh nhân có tiền sử cá nhân hoặc gia đình có ung thư tuyến giáp thể tủy hoặc tiền sử cá nhân đa u tuyến nội tiết típ 2 do có sự tăng nguy cơ ung thư tuyến giáp thể tủy trong nghiên cứu trên loài gặm nhấm.</w:t>
      </w:r>
    </w:p>
    <w:p w14:paraId="29363F78" w14:textId="77777777" w:rsidR="00766084" w:rsidRPr="00FE7693" w:rsidRDefault="00766084" w:rsidP="00FE7693">
      <w:pPr>
        <w:widowControl w:val="0"/>
        <w:tabs>
          <w:tab w:val="left" w:pos="980"/>
        </w:tabs>
        <w:autoSpaceDE w:val="0"/>
        <w:autoSpaceDN w:val="0"/>
        <w:adjustRightInd w:val="0"/>
        <w:spacing w:before="120"/>
        <w:rPr>
          <w:rFonts w:ascii="Arial" w:hAnsi="Arial" w:cs="Arial"/>
          <w:sz w:val="20"/>
        </w:rPr>
      </w:pPr>
      <w:r w:rsidRPr="00FE7693">
        <w:rPr>
          <w:rFonts w:ascii="Arial" w:hAnsi="Arial" w:cs="Arial"/>
          <w:sz w:val="20"/>
        </w:rPr>
        <w:t>+</w:t>
      </w:r>
      <w:r w:rsidR="00ED1D1A" w:rsidRPr="00FE7693">
        <w:rPr>
          <w:rFonts w:ascii="Arial" w:hAnsi="Arial" w:cs="Arial"/>
          <w:sz w:val="20"/>
        </w:rPr>
        <w:t xml:space="preserve"> </w:t>
      </w:r>
      <w:r w:rsidRPr="00FE7693">
        <w:rPr>
          <w:rFonts w:ascii="Arial" w:hAnsi="Arial" w:cs="Arial"/>
          <w:sz w:val="20"/>
        </w:rPr>
        <w:t>Lưu ý: Liraglutide làm chậm sự trống dạ dày, có thể ảnh hưởng đến sự hấp thu các thuốc đường uống dùng đồng thời.</w:t>
      </w:r>
    </w:p>
    <w:p w14:paraId="212DAF25"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Thông tin về thuốc điều trị bệnh béo phì chi tiết trong Phụ lục kèm theo.</w:t>
      </w:r>
    </w:p>
    <w:p w14:paraId="70A4DC08"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6.2.5.</w:t>
      </w:r>
      <w:r w:rsidR="001F364C" w:rsidRPr="00FE7693">
        <w:rPr>
          <w:rFonts w:ascii="Arial" w:hAnsi="Arial" w:cs="Arial"/>
          <w:sz w:val="20"/>
        </w:rPr>
        <w:t xml:space="preserve"> </w:t>
      </w:r>
      <w:r w:rsidRPr="00FE7693">
        <w:rPr>
          <w:rFonts w:ascii="Arial" w:hAnsi="Arial" w:cs="Arial"/>
          <w:sz w:val="20"/>
        </w:rPr>
        <w:t>Điều trị phẫu thuật trong béo phì</w:t>
      </w:r>
    </w:p>
    <w:p w14:paraId="7F9A0495"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Chỉ định của phẫu thuật giảm cân khi thất bại với các điều trị không phẫu thuật ở người bệnh có BMI ≥ 35 kg/</w:t>
      </w:r>
      <w:r w:rsidR="00940AB7" w:rsidRPr="00FE7693">
        <w:rPr>
          <w:rFonts w:ascii="Arial" w:hAnsi="Arial" w:cs="Arial"/>
          <w:sz w:val="20"/>
        </w:rPr>
        <w:t>m</w:t>
      </w:r>
      <w:r w:rsidR="00940AB7" w:rsidRPr="00FE7693">
        <w:rPr>
          <w:rFonts w:ascii="Arial" w:hAnsi="Arial" w:cs="Arial"/>
          <w:sz w:val="20"/>
          <w:vertAlign w:val="superscript"/>
        </w:rPr>
        <w:t>2</w:t>
      </w:r>
      <w:r w:rsidRPr="00FE7693">
        <w:rPr>
          <w:rFonts w:ascii="Arial" w:hAnsi="Arial" w:cs="Arial"/>
          <w:sz w:val="20"/>
          <w:szCs w:val="16"/>
        </w:rPr>
        <w:t xml:space="preserve"> </w:t>
      </w:r>
      <w:r w:rsidRPr="00FE7693">
        <w:rPr>
          <w:rFonts w:ascii="Arial" w:hAnsi="Arial" w:cs="Arial"/>
          <w:sz w:val="20"/>
        </w:rPr>
        <w:t>hay BMI≥ 30 kg/</w:t>
      </w:r>
      <w:r w:rsidR="00940AB7" w:rsidRPr="00FE7693">
        <w:rPr>
          <w:rFonts w:ascii="Arial" w:hAnsi="Arial" w:cs="Arial"/>
          <w:sz w:val="20"/>
        </w:rPr>
        <w:t>m</w:t>
      </w:r>
      <w:r w:rsidR="00940AB7" w:rsidRPr="00FE7693">
        <w:rPr>
          <w:rFonts w:ascii="Arial" w:hAnsi="Arial" w:cs="Arial"/>
          <w:sz w:val="20"/>
          <w:vertAlign w:val="superscript"/>
        </w:rPr>
        <w:t>2</w:t>
      </w:r>
      <w:r w:rsidRPr="00FE7693">
        <w:rPr>
          <w:rFonts w:ascii="Arial" w:hAnsi="Arial" w:cs="Arial"/>
          <w:sz w:val="20"/>
          <w:szCs w:val="16"/>
        </w:rPr>
        <w:t xml:space="preserve"> </w:t>
      </w:r>
      <w:r w:rsidRPr="00FE7693">
        <w:rPr>
          <w:rFonts w:ascii="Arial" w:hAnsi="Arial" w:cs="Arial"/>
          <w:sz w:val="20"/>
        </w:rPr>
        <w:t>kèm bệnh lý đồng mắc liên quan béo phì,</w:t>
      </w:r>
    </w:p>
    <w:p w14:paraId="52AEB4B3"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Mỗi phương pháp phẫu thuật béo phì đều có ưu nhược điểm riêng. Tùy từng trường hợp bệnh nhân cụ thể phẫu thuật viên sẽ tư vấn và lựa chọn phẫu thuật phù hợp.</w:t>
      </w:r>
    </w:p>
    <w:p w14:paraId="13571883" w14:textId="77777777" w:rsidR="00766084" w:rsidRPr="00FE7693" w:rsidRDefault="00766084" w:rsidP="00FE7693">
      <w:pPr>
        <w:widowControl w:val="0"/>
        <w:autoSpaceDE w:val="0"/>
        <w:autoSpaceDN w:val="0"/>
        <w:adjustRightInd w:val="0"/>
        <w:spacing w:before="120"/>
        <w:rPr>
          <w:rFonts w:ascii="Arial" w:hAnsi="Arial" w:cs="Arial"/>
          <w:i/>
          <w:sz w:val="20"/>
        </w:rPr>
      </w:pPr>
      <w:r w:rsidRPr="00FE7693">
        <w:rPr>
          <w:rFonts w:ascii="Arial" w:hAnsi="Arial" w:cs="Arial"/>
          <w:i/>
          <w:sz w:val="20"/>
        </w:rPr>
        <w:t>a.</w:t>
      </w:r>
      <w:r w:rsidR="001F364C" w:rsidRPr="00FE7693">
        <w:rPr>
          <w:rFonts w:ascii="Arial" w:hAnsi="Arial" w:cs="Arial"/>
          <w:i/>
          <w:sz w:val="20"/>
        </w:rPr>
        <w:t xml:space="preserve"> </w:t>
      </w:r>
      <w:r w:rsidRPr="00FE7693">
        <w:rPr>
          <w:rFonts w:ascii="Arial" w:hAnsi="Arial" w:cs="Arial"/>
          <w:i/>
          <w:sz w:val="20"/>
        </w:rPr>
        <w:t>Phẫu thuật đặt vòng thắt dạ dày</w:t>
      </w:r>
    </w:p>
    <w:p w14:paraId="0F541922" w14:textId="77777777" w:rsidR="00766084"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Vào năm 1976 Wilkinson báo cáo kỹ thuật đặt vòng thắt dạ dày lần đầu tiên tuy nhiên vòng thắt không có buồng chỉnh, phẫu thuật thắt đai dạ dày có buồng chỉnh được Kuzmac và Forsell đồng thời báo cáo vào năm 1990. Vòng thắt dạ dày có 1 buồng chỉnh được đặt dưới da và nối với đai dạ dày bởi dây dẫn. Buồng chỉnh này giúp tùy chỉnh đai dạ dày.</w:t>
      </w:r>
    </w:p>
    <w:p w14:paraId="2854E207" w14:textId="7BC68382" w:rsidR="00D97FF6" w:rsidRPr="00FE7693" w:rsidRDefault="00CC336F" w:rsidP="00FE7693">
      <w:pPr>
        <w:widowControl w:val="0"/>
        <w:autoSpaceDE w:val="0"/>
        <w:autoSpaceDN w:val="0"/>
        <w:adjustRightInd w:val="0"/>
        <w:spacing w:before="120"/>
        <w:jc w:val="center"/>
        <w:rPr>
          <w:rFonts w:ascii="Arial" w:hAnsi="Arial" w:cs="Arial"/>
          <w:sz w:val="20"/>
        </w:rPr>
      </w:pPr>
      <w:r w:rsidRPr="00FE7693">
        <w:rPr>
          <w:rFonts w:ascii="Arial" w:hAnsi="Arial" w:cs="Arial"/>
          <w:noProof/>
          <w:sz w:val="20"/>
        </w:rPr>
        <w:drawing>
          <wp:inline distT="0" distB="0" distL="0" distR="0" wp14:anchorId="4E9828DC" wp14:editId="0503BF17">
            <wp:extent cx="374904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9040" cy="3009900"/>
                    </a:xfrm>
                    <a:prstGeom prst="rect">
                      <a:avLst/>
                    </a:prstGeom>
                    <a:noFill/>
                    <a:ln>
                      <a:noFill/>
                    </a:ln>
                  </pic:spPr>
                </pic:pic>
              </a:graphicData>
            </a:graphic>
          </wp:inline>
        </w:drawing>
      </w:r>
    </w:p>
    <w:p w14:paraId="5B6FF49E" w14:textId="77777777" w:rsidR="00766084" w:rsidRPr="00FE7693" w:rsidRDefault="00766084"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Hình 6.1. Phẫu thuật đặt vòng thắt dạ dày</w:t>
      </w:r>
    </w:p>
    <w:p w14:paraId="71083593" w14:textId="77777777" w:rsidR="00F02947" w:rsidRPr="00FE7693" w:rsidRDefault="00766084"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Phẫu thuật đặt vòng thắt có ưu điểm đơn giản, dễ thực hiện, thời gian phẫu thuật ngắn, ít biến chứng. Tuy nhiên cần phải theo dõi </w:t>
      </w:r>
      <w:r w:rsidR="00F02947" w:rsidRPr="00FE7693">
        <w:rPr>
          <w:rFonts w:ascii="Arial" w:hAnsi="Arial" w:cs="Arial"/>
          <w:sz w:val="20"/>
        </w:rPr>
        <w:t>lâu dài sau mổ. Bệnh nhân cần theo dõi hàng tháng trong ít nhất 3 tháng đầu tiên sau mổ. Bệnh nhân cũng cần được theo dõi và chỉnh đai tùy thuộc mức độ giảm cân trong thời gian dài. Phẫu thuật đặt vòng thắt có ưu điểm rất dễ phục hồi, dễ trả lại giải phẫu đường tiêu hóa.</w:t>
      </w:r>
    </w:p>
    <w:p w14:paraId="62FC42FC"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Cơ chế của việc giảm cân trong phẫu thuật đặt vòng thắt dạ dày là do việc đặt một vòng thắt ở tâm vị dạ dày do đó lượng thức ăn đưa vào cơ thể sẽ giảm đi. Mặt khác việc tạo một túi ở phía tâm vị dạ dày với áp lực của vòng thắt dạ dày cũng tác động kích hoạt cơ chế tạo cảm giác no ở các bệnh nhân được phẫu thuật giúp làm giảm nhu cầu ăn của bệnh nhân.</w:t>
      </w:r>
    </w:p>
    <w:p w14:paraId="02A29DAF" w14:textId="77777777" w:rsidR="00F02947" w:rsidRPr="00FE7693" w:rsidRDefault="00F02947" w:rsidP="00FE7693">
      <w:pPr>
        <w:widowControl w:val="0"/>
        <w:autoSpaceDE w:val="0"/>
        <w:autoSpaceDN w:val="0"/>
        <w:adjustRightInd w:val="0"/>
        <w:spacing w:before="120"/>
        <w:rPr>
          <w:rFonts w:ascii="Arial" w:hAnsi="Arial" w:cs="Arial"/>
          <w:i/>
          <w:sz w:val="20"/>
        </w:rPr>
      </w:pPr>
      <w:r w:rsidRPr="00FE7693">
        <w:rPr>
          <w:rFonts w:ascii="Arial" w:hAnsi="Arial" w:cs="Arial"/>
          <w:i/>
          <w:sz w:val="20"/>
        </w:rPr>
        <w:t>b.</w:t>
      </w:r>
      <w:r w:rsidR="001F364C" w:rsidRPr="00FE7693">
        <w:rPr>
          <w:rFonts w:ascii="Arial" w:hAnsi="Arial" w:cs="Arial"/>
          <w:i/>
          <w:sz w:val="20"/>
        </w:rPr>
        <w:t xml:space="preserve"> </w:t>
      </w:r>
      <w:r w:rsidRPr="00FE7693">
        <w:rPr>
          <w:rFonts w:ascii="Arial" w:hAnsi="Arial" w:cs="Arial"/>
          <w:i/>
          <w:sz w:val="20"/>
        </w:rPr>
        <w:t>Phẫu thuật tạo hình dạ dày ống đứng</w:t>
      </w:r>
    </w:p>
    <w:p w14:paraId="3387F7C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Năm 2000 McMahon thực hiện kỹ thuật phẫu thuật tạo hình dạ dày ống đứng đầu tiên tại</w:t>
      </w:r>
      <w:r w:rsidR="007B0B99" w:rsidRPr="00FE7693">
        <w:rPr>
          <w:rFonts w:ascii="Arial" w:hAnsi="Arial" w:cs="Arial"/>
          <w:sz w:val="20"/>
        </w:rPr>
        <w:t xml:space="preserve"> </w:t>
      </w:r>
      <w:r w:rsidRPr="00FE7693">
        <w:rPr>
          <w:rFonts w:ascii="Arial" w:hAnsi="Arial" w:cs="Arial"/>
          <w:sz w:val="20"/>
        </w:rPr>
        <w:t>Leeds.</w:t>
      </w:r>
    </w:p>
    <w:p w14:paraId="02393F6D"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Phẫu thuật tạo hình dạ dày ống đứng làm hẹp và làm giảm thể tích của dạ dày do đó làm</w:t>
      </w:r>
      <w:r w:rsidR="007B0B99" w:rsidRPr="00FE7693">
        <w:rPr>
          <w:rFonts w:ascii="Arial" w:hAnsi="Arial" w:cs="Arial"/>
          <w:sz w:val="20"/>
        </w:rPr>
        <w:t xml:space="preserve"> </w:t>
      </w:r>
      <w:r w:rsidRPr="00FE7693">
        <w:rPr>
          <w:rFonts w:ascii="Arial" w:hAnsi="Arial" w:cs="Arial"/>
          <w:sz w:val="20"/>
        </w:rPr>
        <w:t>giảm lượng thức ăn đưa vào cơ thể.</w:t>
      </w:r>
    </w:p>
    <w:p w14:paraId="6942F091" w14:textId="4D869307" w:rsidR="00F02947" w:rsidRPr="00FE7693" w:rsidRDefault="00CC336F" w:rsidP="00FE7693">
      <w:pPr>
        <w:widowControl w:val="0"/>
        <w:autoSpaceDE w:val="0"/>
        <w:autoSpaceDN w:val="0"/>
        <w:adjustRightInd w:val="0"/>
        <w:spacing w:before="120"/>
        <w:jc w:val="center"/>
        <w:rPr>
          <w:rFonts w:ascii="Arial" w:hAnsi="Arial" w:cs="Arial"/>
          <w:sz w:val="20"/>
          <w:szCs w:val="20"/>
        </w:rPr>
      </w:pPr>
      <w:r w:rsidRPr="00FE7693">
        <w:rPr>
          <w:rFonts w:ascii="Arial" w:hAnsi="Arial" w:cs="Arial"/>
          <w:noProof/>
          <w:sz w:val="20"/>
          <w:szCs w:val="11"/>
        </w:rPr>
        <w:drawing>
          <wp:inline distT="0" distB="0" distL="0" distR="0" wp14:anchorId="3E646D64" wp14:editId="65035FFE">
            <wp:extent cx="2392680" cy="2148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2148840"/>
                    </a:xfrm>
                    <a:prstGeom prst="rect">
                      <a:avLst/>
                    </a:prstGeom>
                    <a:noFill/>
                    <a:ln>
                      <a:noFill/>
                    </a:ln>
                  </pic:spPr>
                </pic:pic>
              </a:graphicData>
            </a:graphic>
          </wp:inline>
        </w:drawing>
      </w:r>
    </w:p>
    <w:p w14:paraId="4813DED1"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Hình 6.2. Kỹ thuật tạo hình dạ dày ống đứng</w:t>
      </w:r>
    </w:p>
    <w:p w14:paraId="3D57D73C"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Phẫu thuật tạo hình dạ dày ống đứng có ưu điểm là phẫu thuật không quá phức tạp, thời gian phẫu thuật ngắn. Do phần còn lại của dạ dày giãn ra sau mổ nên sau 4 năm có những bệnh nhân tăng cân trở lại. Một trong những phiền toái sau mổ là trào ngược dạ dày thực quản. Ở một số bệnh nhân trào ngược nhiều đến mức phải phẫu thuật nối tắt sau đó. Những bệnh nhân có thoát vị hoành hoặc có tiền sử trào ngược dạ dày thực quản không nên chỉ định phẫu thuật này.</w:t>
      </w:r>
    </w:p>
    <w:p w14:paraId="6DE8F46F" w14:textId="77777777" w:rsidR="00F02947" w:rsidRPr="00FE7693" w:rsidRDefault="00F02947" w:rsidP="00FE7693">
      <w:pPr>
        <w:widowControl w:val="0"/>
        <w:autoSpaceDE w:val="0"/>
        <w:autoSpaceDN w:val="0"/>
        <w:adjustRightInd w:val="0"/>
        <w:spacing w:before="120"/>
        <w:rPr>
          <w:rFonts w:ascii="Arial" w:hAnsi="Arial" w:cs="Arial"/>
          <w:i/>
          <w:sz w:val="20"/>
        </w:rPr>
      </w:pPr>
      <w:r w:rsidRPr="00FE7693">
        <w:rPr>
          <w:rFonts w:ascii="Arial" w:hAnsi="Arial" w:cs="Arial"/>
          <w:i/>
          <w:sz w:val="20"/>
        </w:rPr>
        <w:t>c.</w:t>
      </w:r>
      <w:r w:rsidR="001F364C" w:rsidRPr="00FE7693">
        <w:rPr>
          <w:rFonts w:ascii="Arial" w:hAnsi="Arial" w:cs="Arial"/>
          <w:i/>
          <w:sz w:val="20"/>
        </w:rPr>
        <w:t xml:space="preserve"> </w:t>
      </w:r>
      <w:r w:rsidRPr="00FE7693">
        <w:rPr>
          <w:rFonts w:ascii="Arial" w:hAnsi="Arial" w:cs="Arial"/>
          <w:i/>
          <w:sz w:val="20"/>
        </w:rPr>
        <w:t>Phẫu thuật nối tắt dạ dày</w:t>
      </w:r>
    </w:p>
    <w:p w14:paraId="1CF625C9"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Năm 1966 Mason phát triển kỹ thuật nối tắt dạ dày. Phẫu thuật của Mason được thực hiện bằng cách cắt đôi dạ dày theo chiều ngang, ruột non được đưa lên nối với phần trên của dạ dày.</w:t>
      </w:r>
    </w:p>
    <w:p w14:paraId="2A145362" w14:textId="67BA046E" w:rsidR="00F02947" w:rsidRPr="00FE7693" w:rsidRDefault="00CC336F" w:rsidP="00FE7693">
      <w:pPr>
        <w:widowControl w:val="0"/>
        <w:autoSpaceDE w:val="0"/>
        <w:autoSpaceDN w:val="0"/>
        <w:adjustRightInd w:val="0"/>
        <w:spacing w:before="120"/>
        <w:jc w:val="center"/>
        <w:rPr>
          <w:rFonts w:ascii="Arial" w:hAnsi="Arial" w:cs="Arial"/>
          <w:sz w:val="20"/>
          <w:szCs w:val="20"/>
        </w:rPr>
      </w:pPr>
      <w:r w:rsidRPr="00FE7693">
        <w:rPr>
          <w:rFonts w:ascii="Arial" w:hAnsi="Arial" w:cs="Arial"/>
          <w:noProof/>
          <w:sz w:val="20"/>
          <w:szCs w:val="11"/>
        </w:rPr>
        <w:drawing>
          <wp:inline distT="0" distB="0" distL="0" distR="0" wp14:anchorId="2DC57DA1" wp14:editId="21201B0A">
            <wp:extent cx="2110740" cy="1783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0740" cy="1783080"/>
                    </a:xfrm>
                    <a:prstGeom prst="rect">
                      <a:avLst/>
                    </a:prstGeom>
                    <a:noFill/>
                    <a:ln>
                      <a:noFill/>
                    </a:ln>
                  </pic:spPr>
                </pic:pic>
              </a:graphicData>
            </a:graphic>
          </wp:inline>
        </w:drawing>
      </w:r>
    </w:p>
    <w:p w14:paraId="68CF9564"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Hình 6.3. Phẫu thuật nối tắt dạ dày</w:t>
      </w:r>
    </w:p>
    <w:p w14:paraId="7EA2FF68"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Phẫu thuật nối tắt dạ dày có những biến chứng sau mổ khi theo dõi trong thời gian dài như thiếu hụt vitamin và các vi chất, loét miệng nối hay thoát vị nội. Tăng cân trở lại cũng có thể xuất hiện do giãn dạ dày và ruột non.</w:t>
      </w:r>
    </w:p>
    <w:p w14:paraId="4E2D3011" w14:textId="77777777" w:rsidR="00F02947" w:rsidRPr="00FE7693" w:rsidRDefault="00F02947" w:rsidP="00FE7693">
      <w:pPr>
        <w:widowControl w:val="0"/>
        <w:autoSpaceDE w:val="0"/>
        <w:autoSpaceDN w:val="0"/>
        <w:adjustRightInd w:val="0"/>
        <w:spacing w:before="120"/>
        <w:rPr>
          <w:rFonts w:ascii="Arial" w:hAnsi="Arial" w:cs="Arial"/>
          <w:i/>
          <w:sz w:val="20"/>
        </w:rPr>
      </w:pPr>
      <w:r w:rsidRPr="00FE7693">
        <w:rPr>
          <w:rFonts w:ascii="Arial" w:hAnsi="Arial" w:cs="Arial"/>
          <w:i/>
          <w:sz w:val="20"/>
        </w:rPr>
        <w:t>d.</w:t>
      </w:r>
      <w:r w:rsidR="001F364C" w:rsidRPr="00FE7693">
        <w:rPr>
          <w:rFonts w:ascii="Arial" w:hAnsi="Arial" w:cs="Arial"/>
          <w:i/>
          <w:sz w:val="20"/>
        </w:rPr>
        <w:t xml:space="preserve"> </w:t>
      </w:r>
      <w:r w:rsidRPr="00FE7693">
        <w:rPr>
          <w:rFonts w:ascii="Arial" w:hAnsi="Arial" w:cs="Arial"/>
          <w:i/>
          <w:sz w:val="20"/>
        </w:rPr>
        <w:t>Phẫu thuật phân lưu mật tụy</w:t>
      </w:r>
    </w:p>
    <w:p w14:paraId="3699DC9C"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Năm 1976, tại Genoa Scopinaro đã phát triển kỹ thuật phân lưu mật tụy (biliopancreatic diversion BPD). Kỹ thuật này bao gồm cắt gần toàn bộ dạ dày, phân lưu dịch mật và tụy làm giảm hấp thu thức ăn. Khác với phẫu thuật nối tắt hỗng-hồi tràng, kỹ thuật phân lưu mật tụy không có đầu ruột non tận tự do. Phần ruột non được nối với hồi tràng cách góc hồi manh tràng 50 cm. Trong vài tháng đầu sau mổ lượng thức ăn của bệnh nhân có thể không thay đổi, nhưng cân nặng vẫn giảm do giảm hấp thu ở ruột.</w:t>
      </w:r>
    </w:p>
    <w:p w14:paraId="47B11DBF" w14:textId="6A18B8B6" w:rsidR="00F02947" w:rsidRPr="00FE7693" w:rsidRDefault="00CC336F" w:rsidP="00FE7693">
      <w:pPr>
        <w:widowControl w:val="0"/>
        <w:autoSpaceDE w:val="0"/>
        <w:autoSpaceDN w:val="0"/>
        <w:adjustRightInd w:val="0"/>
        <w:spacing w:before="120"/>
        <w:jc w:val="center"/>
        <w:rPr>
          <w:rFonts w:ascii="Arial" w:hAnsi="Arial" w:cs="Arial"/>
          <w:sz w:val="20"/>
          <w:szCs w:val="20"/>
        </w:rPr>
      </w:pPr>
      <w:r w:rsidRPr="00FE7693">
        <w:rPr>
          <w:rFonts w:ascii="Arial" w:hAnsi="Arial" w:cs="Arial"/>
          <w:noProof/>
          <w:sz w:val="20"/>
          <w:szCs w:val="11"/>
        </w:rPr>
        <w:drawing>
          <wp:inline distT="0" distB="0" distL="0" distR="0" wp14:anchorId="0C715D56" wp14:editId="551D8F8B">
            <wp:extent cx="236982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9820" cy="3200400"/>
                    </a:xfrm>
                    <a:prstGeom prst="rect">
                      <a:avLst/>
                    </a:prstGeom>
                    <a:noFill/>
                    <a:ln>
                      <a:noFill/>
                    </a:ln>
                  </pic:spPr>
                </pic:pic>
              </a:graphicData>
            </a:graphic>
          </wp:inline>
        </w:drawing>
      </w:r>
    </w:p>
    <w:p w14:paraId="70CEF064"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Hình 6.4. Phẫu thuật phân lưu mật tụy</w:t>
      </w:r>
    </w:p>
    <w:p w14:paraId="4DE91B8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Phẫu thuật phân lưu mật tụy ưu thế hơn so với các phẫu thuật giảm béo khác, tuy nhiên phẫu thuật này có nhược điểm là có nhiều biến chứng hơn, bệnh nhân dễ bị thiếu hụt vi chất vitamin, rò, loét miệng nối và thoát vị nội.</w:t>
      </w:r>
    </w:p>
    <w:p w14:paraId="02D1AC70" w14:textId="77777777" w:rsidR="00F02947" w:rsidRPr="00FE7693" w:rsidRDefault="00F02947" w:rsidP="00FE7693">
      <w:pPr>
        <w:widowControl w:val="0"/>
        <w:autoSpaceDE w:val="0"/>
        <w:autoSpaceDN w:val="0"/>
        <w:adjustRightInd w:val="0"/>
        <w:spacing w:before="120"/>
        <w:rPr>
          <w:rFonts w:ascii="Arial" w:hAnsi="Arial" w:cs="Arial"/>
          <w:i/>
          <w:sz w:val="20"/>
        </w:rPr>
      </w:pPr>
      <w:r w:rsidRPr="00FE7693">
        <w:rPr>
          <w:rFonts w:ascii="Arial" w:hAnsi="Arial" w:cs="Arial"/>
          <w:i/>
          <w:sz w:val="20"/>
        </w:rPr>
        <w:t>e.</w:t>
      </w:r>
      <w:r w:rsidR="001F364C" w:rsidRPr="00FE7693">
        <w:rPr>
          <w:rFonts w:ascii="Arial" w:hAnsi="Arial" w:cs="Arial"/>
          <w:i/>
          <w:sz w:val="20"/>
        </w:rPr>
        <w:t xml:space="preserve"> </w:t>
      </w:r>
      <w:r w:rsidRPr="00FE7693">
        <w:rPr>
          <w:rFonts w:ascii="Arial" w:hAnsi="Arial" w:cs="Arial"/>
          <w:i/>
          <w:sz w:val="20"/>
        </w:rPr>
        <w:t>Phẫu thuật đảo dòng tá tràng</w:t>
      </w:r>
    </w:p>
    <w:p w14:paraId="40D1067A"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Hess phát triển kỹ thuật đảo dòng tá tràng từ kỹ thuật phân lưu mật tụy của Scopinaro. DeMeester phát triển kỹ thuật này để điều trị luồng trào ngược dịch mật từ tá tràng lên thực quản. DeMeester nhận thấy bảo tồn cơ thắt môn vị làm giảm biến chứng loét miệng nối tá tràng - ruột non. Dạ dày được tạo hình bằng cách cắt theo chiều dọc, kỹ thuật này hiện nay được áp dụng phổ biến trong phẫu thuật tạo hình dạ dày ống đứng (sleeve gastrectomy). Việc tạo hình dạ dày theo chiều dọc cũng giúp giảm tỷ lệ loét miệng nối do làm giảm thể tích dạ dày.</w:t>
      </w:r>
    </w:p>
    <w:p w14:paraId="2DF23C3B" w14:textId="080D79A9" w:rsidR="00F02947" w:rsidRPr="00FE7693" w:rsidRDefault="00CC336F" w:rsidP="00FE7693">
      <w:pPr>
        <w:widowControl w:val="0"/>
        <w:autoSpaceDE w:val="0"/>
        <w:autoSpaceDN w:val="0"/>
        <w:adjustRightInd w:val="0"/>
        <w:spacing w:before="120"/>
        <w:jc w:val="center"/>
        <w:rPr>
          <w:rFonts w:ascii="Arial" w:hAnsi="Arial" w:cs="Arial"/>
          <w:sz w:val="20"/>
          <w:szCs w:val="20"/>
        </w:rPr>
      </w:pPr>
      <w:r w:rsidRPr="00FE7693">
        <w:rPr>
          <w:rFonts w:ascii="Arial" w:hAnsi="Arial" w:cs="Arial"/>
          <w:noProof/>
          <w:sz w:val="20"/>
          <w:szCs w:val="22"/>
        </w:rPr>
        <w:drawing>
          <wp:inline distT="0" distB="0" distL="0" distR="0" wp14:anchorId="74166988" wp14:editId="7A7F7DE3">
            <wp:extent cx="2796540" cy="2964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540" cy="2964180"/>
                    </a:xfrm>
                    <a:prstGeom prst="rect">
                      <a:avLst/>
                    </a:prstGeom>
                    <a:noFill/>
                    <a:ln>
                      <a:noFill/>
                    </a:ln>
                  </pic:spPr>
                </pic:pic>
              </a:graphicData>
            </a:graphic>
          </wp:inline>
        </w:drawing>
      </w:r>
    </w:p>
    <w:p w14:paraId="40FD7FF8"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Hình 6.5. Phẫu thuật đảo dòng tá tràng</w:t>
      </w:r>
    </w:p>
    <w:p w14:paraId="58233372"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Phẫu thuật đảo dòng tá tràng có hiệu quả giảm cân cao tuy nhiên phương pháp này có nhiều biến chứng sau mổ. Phẫu thuật giảm béo dựa trên giảm hấp thu thức ăn nên sau mổ bệnh nhân có những rối loạn thiếu hụt vitamin và vi chất nặng cần bổ sung.</w:t>
      </w:r>
    </w:p>
    <w:p w14:paraId="59797AE6" w14:textId="77777777" w:rsidR="00F02947" w:rsidRPr="00FE7693" w:rsidRDefault="00F02947" w:rsidP="00FE7693">
      <w:pPr>
        <w:widowControl w:val="0"/>
        <w:autoSpaceDE w:val="0"/>
        <w:autoSpaceDN w:val="0"/>
        <w:adjustRightInd w:val="0"/>
        <w:spacing w:before="120"/>
        <w:rPr>
          <w:rFonts w:ascii="Arial" w:hAnsi="Arial" w:cs="Arial"/>
          <w:i/>
          <w:sz w:val="20"/>
        </w:rPr>
      </w:pPr>
      <w:r w:rsidRPr="00FE7693">
        <w:rPr>
          <w:rFonts w:ascii="Arial" w:hAnsi="Arial" w:cs="Arial"/>
          <w:i/>
          <w:sz w:val="20"/>
        </w:rPr>
        <w:t>f.</w:t>
      </w:r>
      <w:r w:rsidR="001F364C" w:rsidRPr="00FE7693">
        <w:rPr>
          <w:rFonts w:ascii="Arial" w:hAnsi="Arial" w:cs="Arial"/>
          <w:i/>
          <w:sz w:val="20"/>
        </w:rPr>
        <w:t xml:space="preserve"> </w:t>
      </w:r>
      <w:r w:rsidRPr="00FE7693">
        <w:rPr>
          <w:rFonts w:ascii="Arial" w:hAnsi="Arial" w:cs="Arial"/>
          <w:i/>
          <w:sz w:val="20"/>
        </w:rPr>
        <w:t>Phẫu thuật nối tắt dạ dày với 1 miệng nối (mini gastric bypass)</w:t>
      </w:r>
    </w:p>
    <w:p w14:paraId="246CA54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Kỹ thuật này được thực hiện lần đầu tiên bởi Rutledge vào năm 1998 tại Mỹ. Với kỹ thuật này phẫu thuật viên sẽ tạo một ống dạ dày dọc bờ cong nhỏ và đưa ruột non lên nối với ống dạ dày này theo kiểu omega, miệng nối dạ dày ruột cách góc Treitz 200 cm tùy thuộc vào BMI của bệnh nhân.</w:t>
      </w:r>
    </w:p>
    <w:p w14:paraId="770D0821" w14:textId="63F44596" w:rsidR="00F02947" w:rsidRPr="00FE7693" w:rsidRDefault="00CC336F" w:rsidP="00FE7693">
      <w:pPr>
        <w:widowControl w:val="0"/>
        <w:autoSpaceDE w:val="0"/>
        <w:autoSpaceDN w:val="0"/>
        <w:adjustRightInd w:val="0"/>
        <w:spacing w:before="120"/>
        <w:jc w:val="center"/>
        <w:rPr>
          <w:rFonts w:ascii="Arial" w:hAnsi="Arial" w:cs="Arial"/>
          <w:sz w:val="20"/>
          <w:szCs w:val="20"/>
        </w:rPr>
      </w:pPr>
      <w:r w:rsidRPr="00FE7693">
        <w:rPr>
          <w:rFonts w:ascii="Arial" w:hAnsi="Arial" w:cs="Arial"/>
          <w:noProof/>
          <w:sz w:val="20"/>
          <w:szCs w:val="11"/>
        </w:rPr>
        <w:drawing>
          <wp:inline distT="0" distB="0" distL="0" distR="0" wp14:anchorId="1ADB7694" wp14:editId="13C7682D">
            <wp:extent cx="19812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438400"/>
                    </a:xfrm>
                    <a:prstGeom prst="rect">
                      <a:avLst/>
                    </a:prstGeom>
                    <a:noFill/>
                    <a:ln>
                      <a:noFill/>
                    </a:ln>
                  </pic:spPr>
                </pic:pic>
              </a:graphicData>
            </a:graphic>
          </wp:inline>
        </w:drawing>
      </w:r>
    </w:p>
    <w:p w14:paraId="49FDBF71"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Hình 6.6. Phẫu thuật nối tắt dạ dày với 1 miệng nối (mini gastric bypass)</w:t>
      </w:r>
    </w:p>
    <w:p w14:paraId="26A629CB"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Phẫu thuật nối tắt dạ dày với một miệng nối là một phẫu thuật hiệu quả tuy nhiên khi theo dõi lâu dài phẫu thuật có các biến chứng như thiếu hụt vitamin, vi chất, rò, loét miệng nối (1% đến 6%), thoát vị nội.</w:t>
      </w:r>
    </w:p>
    <w:p w14:paraId="4F9E1F1F" w14:textId="77777777" w:rsidR="00F02947" w:rsidRPr="00FE7693" w:rsidRDefault="00F02947" w:rsidP="00FE7693">
      <w:pPr>
        <w:widowControl w:val="0"/>
        <w:autoSpaceDE w:val="0"/>
        <w:autoSpaceDN w:val="0"/>
        <w:adjustRightInd w:val="0"/>
        <w:spacing w:before="120"/>
        <w:rPr>
          <w:rFonts w:ascii="Arial" w:hAnsi="Arial" w:cs="Arial"/>
          <w:i/>
          <w:sz w:val="20"/>
        </w:rPr>
      </w:pPr>
      <w:r w:rsidRPr="00FE7693">
        <w:rPr>
          <w:rFonts w:ascii="Arial" w:hAnsi="Arial" w:cs="Arial"/>
          <w:i/>
          <w:sz w:val="20"/>
        </w:rPr>
        <w:t>g.</w:t>
      </w:r>
      <w:r w:rsidR="001F364C" w:rsidRPr="00FE7693">
        <w:rPr>
          <w:rFonts w:ascii="Arial" w:hAnsi="Arial" w:cs="Arial"/>
          <w:i/>
          <w:sz w:val="20"/>
        </w:rPr>
        <w:t xml:space="preserve"> </w:t>
      </w:r>
      <w:r w:rsidRPr="00FE7693">
        <w:rPr>
          <w:rFonts w:ascii="Arial" w:hAnsi="Arial" w:cs="Arial"/>
          <w:i/>
          <w:sz w:val="20"/>
        </w:rPr>
        <w:t>Phẫu thuật khâu gấp nếp dạ dày:</w:t>
      </w:r>
    </w:p>
    <w:p w14:paraId="001CC1F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Phẫu thuật khâu gấp nếp dạ dày được thực hiện lần đầu tiên bởi Talebpour tại Iran vào năm 2002. Phần bờ cong lớn dạ dày được khâu gấp nếp lại dọc theo chiều dài bằng chỉ không tiêu. Việc khâu tạo nếp gấp có thể bắt đầu từ phía tâm vị hay phía môn vị.</w:t>
      </w:r>
    </w:p>
    <w:p w14:paraId="6A497160" w14:textId="76DB7E86" w:rsidR="00F02947" w:rsidRPr="00FE7693" w:rsidRDefault="00CC336F" w:rsidP="00FE7693">
      <w:pPr>
        <w:widowControl w:val="0"/>
        <w:autoSpaceDE w:val="0"/>
        <w:autoSpaceDN w:val="0"/>
        <w:adjustRightInd w:val="0"/>
        <w:spacing w:before="120"/>
        <w:jc w:val="center"/>
        <w:rPr>
          <w:rFonts w:ascii="Arial" w:hAnsi="Arial" w:cs="Arial"/>
          <w:sz w:val="20"/>
          <w:szCs w:val="20"/>
        </w:rPr>
      </w:pPr>
      <w:r w:rsidRPr="00FE7693">
        <w:rPr>
          <w:rFonts w:ascii="Arial" w:hAnsi="Arial" w:cs="Arial"/>
          <w:noProof/>
          <w:sz w:val="20"/>
          <w:szCs w:val="11"/>
        </w:rPr>
        <w:drawing>
          <wp:inline distT="0" distB="0" distL="0" distR="0" wp14:anchorId="7060BC17" wp14:editId="209E6027">
            <wp:extent cx="2628900" cy="1706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706880"/>
                    </a:xfrm>
                    <a:prstGeom prst="rect">
                      <a:avLst/>
                    </a:prstGeom>
                    <a:noFill/>
                    <a:ln>
                      <a:noFill/>
                    </a:ln>
                  </pic:spPr>
                </pic:pic>
              </a:graphicData>
            </a:graphic>
          </wp:inline>
        </w:drawing>
      </w:r>
    </w:p>
    <w:p w14:paraId="1E8F5183"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Hình 6.7.</w:t>
      </w:r>
      <w:r w:rsidR="001F364C" w:rsidRPr="00FE7693">
        <w:rPr>
          <w:rFonts w:ascii="Arial" w:hAnsi="Arial" w:cs="Arial"/>
          <w:sz w:val="20"/>
        </w:rPr>
        <w:t xml:space="preserve"> </w:t>
      </w:r>
      <w:r w:rsidRPr="00FE7693">
        <w:rPr>
          <w:rFonts w:ascii="Arial" w:hAnsi="Arial" w:cs="Arial"/>
          <w:sz w:val="20"/>
        </w:rPr>
        <w:t>Phẫu thuật khâu gấp nếp dạ dày</w:t>
      </w:r>
    </w:p>
    <w:p w14:paraId="7B36C41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Phương pháp này có ưu điểm là không có miệng nối, không phải cắt bỏ dạ dày nên tỷ lệ biến chứng viêm phúc mạc hay rò dạ dày rất thấp hoặc gần như không có. Ngoài ra do không phải sử dụng dụng cụ khâu nối tiêu hóa tự động nên chi phí cho cuộc mổ sẽ thấp hơn so với các phương pháp khác. Tuy nhiên tỷ lệ tăng cân trở lại do dạ dày giãn ra cũng gặp sau mổ lên tới 31% sau 3 năm theo Talebpour và cộng sự.</w:t>
      </w:r>
    </w:p>
    <w:p w14:paraId="7F0D745A"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Đối với hiệu quả cải thiện các bệnh phối hợp như đái tháo đường, tăng huyết áp hay rối loạn mỡ máu thì hiệu quả của phẫu thuật này thấp hơn so với các phương pháp phẫu thuật khác.</w:t>
      </w:r>
    </w:p>
    <w:p w14:paraId="4235A458" w14:textId="77777777" w:rsidR="00F02947" w:rsidRPr="00FE7693" w:rsidRDefault="00F02947" w:rsidP="00FE7693">
      <w:pPr>
        <w:widowControl w:val="0"/>
        <w:autoSpaceDE w:val="0"/>
        <w:autoSpaceDN w:val="0"/>
        <w:adjustRightInd w:val="0"/>
        <w:spacing w:before="120"/>
        <w:rPr>
          <w:rFonts w:ascii="Arial" w:hAnsi="Arial" w:cs="Arial"/>
          <w:i/>
          <w:sz w:val="20"/>
        </w:rPr>
      </w:pPr>
      <w:r w:rsidRPr="00FE7693">
        <w:rPr>
          <w:rFonts w:ascii="Arial" w:hAnsi="Arial" w:cs="Arial"/>
          <w:i/>
          <w:sz w:val="20"/>
        </w:rPr>
        <w:t>h.</w:t>
      </w:r>
      <w:r w:rsidR="001F364C" w:rsidRPr="00FE7693">
        <w:rPr>
          <w:rFonts w:ascii="Arial" w:hAnsi="Arial" w:cs="Arial"/>
          <w:i/>
          <w:sz w:val="20"/>
        </w:rPr>
        <w:t xml:space="preserve"> </w:t>
      </w:r>
      <w:r w:rsidRPr="00FE7693">
        <w:rPr>
          <w:rFonts w:ascii="Arial" w:hAnsi="Arial" w:cs="Arial"/>
          <w:i/>
          <w:sz w:val="20"/>
        </w:rPr>
        <w:t>Phẫu thuật tạo hình dạ dày</w:t>
      </w:r>
    </w:p>
    <w:p w14:paraId="1EEEA35B" w14:textId="03680B7F" w:rsidR="00F02947" w:rsidRPr="00FE7693" w:rsidRDefault="00CC336F" w:rsidP="00FE7693">
      <w:pPr>
        <w:widowControl w:val="0"/>
        <w:autoSpaceDE w:val="0"/>
        <w:autoSpaceDN w:val="0"/>
        <w:adjustRightInd w:val="0"/>
        <w:spacing w:before="120"/>
        <w:jc w:val="center"/>
        <w:rPr>
          <w:rFonts w:ascii="Arial" w:hAnsi="Arial" w:cs="Arial"/>
          <w:sz w:val="20"/>
          <w:szCs w:val="20"/>
        </w:rPr>
      </w:pPr>
      <w:r w:rsidRPr="00FE7693">
        <w:rPr>
          <w:rFonts w:ascii="Arial" w:hAnsi="Arial" w:cs="Arial"/>
          <w:noProof/>
          <w:sz w:val="20"/>
          <w:szCs w:val="11"/>
        </w:rPr>
        <w:drawing>
          <wp:inline distT="0" distB="0" distL="0" distR="0" wp14:anchorId="4A1CC4A0" wp14:editId="72BACD6F">
            <wp:extent cx="2994660" cy="2583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660" cy="2583180"/>
                    </a:xfrm>
                    <a:prstGeom prst="rect">
                      <a:avLst/>
                    </a:prstGeom>
                    <a:noFill/>
                    <a:ln>
                      <a:noFill/>
                    </a:ln>
                  </pic:spPr>
                </pic:pic>
              </a:graphicData>
            </a:graphic>
          </wp:inline>
        </w:drawing>
      </w:r>
    </w:p>
    <w:p w14:paraId="43FD964D"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Hình 6.8. Phẫu thuật tạo hình dạ dày</w:t>
      </w:r>
    </w:p>
    <w:p w14:paraId="727BE34F"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Phẫu thuật tạo hình dạ dày được Mason phát triển từ những năm 1980, phẫu thuật này</w:t>
      </w:r>
      <w:r w:rsidR="00411C86" w:rsidRPr="00FE7693">
        <w:rPr>
          <w:rFonts w:ascii="Arial" w:hAnsi="Arial" w:cs="Arial"/>
          <w:sz w:val="20"/>
        </w:rPr>
        <w:t xml:space="preserve"> </w:t>
      </w:r>
      <w:r w:rsidRPr="00FE7693">
        <w:rPr>
          <w:rFonts w:ascii="Arial" w:hAnsi="Arial" w:cs="Arial"/>
          <w:sz w:val="20"/>
        </w:rPr>
        <w:t>được thực hiện bởi một đai vòng quanh dạ dày ở phần thấp với một cửa sổ được tạo ra</w:t>
      </w:r>
      <w:r w:rsidR="00411C86" w:rsidRPr="00FE7693">
        <w:rPr>
          <w:rFonts w:ascii="Arial" w:hAnsi="Arial" w:cs="Arial"/>
          <w:sz w:val="20"/>
        </w:rPr>
        <w:t xml:space="preserve"> </w:t>
      </w:r>
      <w:r w:rsidRPr="00FE7693">
        <w:rPr>
          <w:rFonts w:ascii="Arial" w:hAnsi="Arial" w:cs="Arial"/>
          <w:sz w:val="20"/>
        </w:rPr>
        <w:t>bởi dụng cụ cắt nối tự động ở phần thân vị sát bờ cong nhỏ dạ dày. Phẫu thuật này có hiệu quả tương tự như phẫu thuật đặt vòng thắt dạ dày nhưng phức tạp hơn và có nhiều biến chứng như nôn, trào ngược, loét đai…</w:t>
      </w:r>
    </w:p>
    <w:p w14:paraId="15CC37A7" w14:textId="77777777" w:rsidR="00F02947" w:rsidRPr="00FE7693" w:rsidRDefault="00F02947" w:rsidP="00FE7693">
      <w:pPr>
        <w:widowControl w:val="0"/>
        <w:autoSpaceDE w:val="0"/>
        <w:autoSpaceDN w:val="0"/>
        <w:adjustRightInd w:val="0"/>
        <w:spacing w:before="120"/>
        <w:rPr>
          <w:rFonts w:ascii="Arial" w:hAnsi="Arial" w:cs="Arial"/>
          <w:i/>
          <w:sz w:val="20"/>
        </w:rPr>
      </w:pPr>
      <w:r w:rsidRPr="00FE7693">
        <w:rPr>
          <w:rFonts w:ascii="Arial" w:hAnsi="Arial" w:cs="Arial"/>
          <w:i/>
          <w:sz w:val="20"/>
        </w:rPr>
        <w:t>i.</w:t>
      </w:r>
      <w:r w:rsidR="001F364C" w:rsidRPr="00FE7693">
        <w:rPr>
          <w:rFonts w:ascii="Arial" w:hAnsi="Arial" w:cs="Arial"/>
          <w:i/>
          <w:sz w:val="20"/>
        </w:rPr>
        <w:t xml:space="preserve"> </w:t>
      </w:r>
      <w:r w:rsidRPr="00FE7693">
        <w:rPr>
          <w:rFonts w:ascii="Arial" w:hAnsi="Arial" w:cs="Arial"/>
          <w:i/>
          <w:sz w:val="20"/>
        </w:rPr>
        <w:t>Đặt bóng dạ dày (intragastric</w:t>
      </w:r>
      <w:r w:rsidR="001F364C" w:rsidRPr="00FE7693">
        <w:rPr>
          <w:rFonts w:ascii="Arial" w:hAnsi="Arial" w:cs="Arial"/>
          <w:i/>
          <w:sz w:val="20"/>
        </w:rPr>
        <w:t xml:space="preserve"> </w:t>
      </w:r>
      <w:r w:rsidRPr="00FE7693">
        <w:rPr>
          <w:rFonts w:ascii="Arial" w:hAnsi="Arial" w:cs="Arial"/>
          <w:i/>
          <w:sz w:val="20"/>
        </w:rPr>
        <w:t>ballon - IRB)</w:t>
      </w:r>
    </w:p>
    <w:p w14:paraId="567FAF2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Đây là một phương pháp điều trị béo phì tạm thời và xâm lấn tối thiểu, ban đầu được phát triển sau khi quan sát thấy sự hiện diện của khối choáng chỗ dẫn đến giảm cân thông qua tăng cảm giác no. Đây là một phương pháp nội soi, nó được định vị giữa điều trị thuốc và phẫu thuật, hiện đang là liệu pháp điều trị béo phì xâm lấn tối thiểu được sử dụng nhiều nhất. Bóng trong dạ dày hoạt động như một thiết bị lấy đầy không gian trong lòng dạ dày, làm giảm dung tích dạ dày và gây cảm giác no. Có nhiều thiết bị IRB khác nhau, có thể chứa chất lỏng hay không khí, có thể điều chỉnh thể tích hay không, nhưng không có sự khác biệt đáng kể về giảm cân giữa những thiết bị này.</w:t>
      </w:r>
    </w:p>
    <w:p w14:paraId="7B6F2875" w14:textId="33D13E3D" w:rsidR="00F02947" w:rsidRPr="00FE7693" w:rsidRDefault="00CC336F" w:rsidP="00FE7693">
      <w:pPr>
        <w:widowControl w:val="0"/>
        <w:autoSpaceDE w:val="0"/>
        <w:autoSpaceDN w:val="0"/>
        <w:adjustRightInd w:val="0"/>
        <w:spacing w:before="120"/>
        <w:jc w:val="center"/>
        <w:rPr>
          <w:rFonts w:ascii="Arial" w:hAnsi="Arial" w:cs="Arial"/>
          <w:sz w:val="20"/>
          <w:szCs w:val="20"/>
        </w:rPr>
      </w:pPr>
      <w:r w:rsidRPr="00FE7693">
        <w:rPr>
          <w:rFonts w:ascii="Arial" w:hAnsi="Arial" w:cs="Arial"/>
          <w:noProof/>
          <w:sz w:val="20"/>
          <w:szCs w:val="11"/>
        </w:rPr>
        <w:drawing>
          <wp:inline distT="0" distB="0" distL="0" distR="0" wp14:anchorId="4CB01B25" wp14:editId="087CB8FC">
            <wp:extent cx="4815840" cy="461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5840" cy="4610100"/>
                    </a:xfrm>
                    <a:prstGeom prst="rect">
                      <a:avLst/>
                    </a:prstGeom>
                    <a:noFill/>
                    <a:ln>
                      <a:noFill/>
                    </a:ln>
                  </pic:spPr>
                </pic:pic>
              </a:graphicData>
            </a:graphic>
          </wp:inline>
        </w:drawing>
      </w:r>
    </w:p>
    <w:p w14:paraId="727000AB"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Hình 6.9. Kỹ thuật đặt bóng dạ dày</w:t>
      </w:r>
    </w:p>
    <w:p w14:paraId="4DD69D2D"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Nhiều nghiên cứu đã chỉ ra hiệu quả của đặt bóng dạ dày trong việc giảm cân ngắn hạn, với những cải thiện đáng kể về các bệnh đồng mắc liên quan đến béo phì. Đặt bóng dạ dày có chỉ định rộng rãi, từ những người thừa cân (chỉ số khối cơ thể BMI ≥ 27 kg/m²), đến những người béo phì không đáp ứng các tiêu chí cho phẫu thuật giảm béo và cho người siêu béo phì (BMI ≥ 50 kg/m²), như một tiền đề cho phẫu thuật giảm béo. Dựa trên những dự liệu an toàn tốt, đặt bóng dạ dày cũng có thể được sử dụng ở những bệnh nhân béo phì đủ điều kiện phẫu thuật giảm béo nhưng có nguy cơ cao bị các tác dụng phụ của phẫu thuật hoặc không muốn trải qua thủ thuật.</w:t>
      </w:r>
    </w:p>
    <w:p w14:paraId="3D58A755" w14:textId="77777777" w:rsidR="00F02947" w:rsidRPr="00FE7693" w:rsidRDefault="00F02947" w:rsidP="00FE7693">
      <w:pPr>
        <w:widowControl w:val="0"/>
        <w:autoSpaceDE w:val="0"/>
        <w:autoSpaceDN w:val="0"/>
        <w:adjustRightInd w:val="0"/>
        <w:spacing w:before="120"/>
        <w:rPr>
          <w:rFonts w:ascii="Arial" w:hAnsi="Arial" w:cs="Arial"/>
          <w:i/>
          <w:sz w:val="20"/>
        </w:rPr>
      </w:pPr>
      <w:r w:rsidRPr="00FE7693">
        <w:rPr>
          <w:rFonts w:ascii="Arial" w:hAnsi="Arial" w:cs="Arial"/>
          <w:i/>
          <w:sz w:val="20"/>
        </w:rPr>
        <w:t>j.</w:t>
      </w:r>
      <w:r w:rsidR="001F364C" w:rsidRPr="00FE7693">
        <w:rPr>
          <w:rFonts w:ascii="Arial" w:hAnsi="Arial" w:cs="Arial"/>
          <w:i/>
          <w:sz w:val="20"/>
        </w:rPr>
        <w:t xml:space="preserve"> </w:t>
      </w:r>
      <w:r w:rsidRPr="00FE7693">
        <w:rPr>
          <w:rFonts w:ascii="Arial" w:hAnsi="Arial" w:cs="Arial"/>
          <w:i/>
          <w:sz w:val="20"/>
        </w:rPr>
        <w:t>Một số nhận xét về việc áp dụng các phương pháp phẫu thuật điều trị béo phì</w:t>
      </w:r>
    </w:p>
    <w:p w14:paraId="0D183582"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Phẫu thuật tạo hình dạ dày ống đứng chiếm tỷ lệ cao nhất trong các phương pháp phẫu thuật giảm béo giai đoạn 2015-2018 tăng 30,8%, tiếp theo là phẫu thuật nối tắt dạ dày, phẫu thuật đặt vòng thắt dạ dày có tỷ lệ giảm còn 1/3 so với các giai đoạn trước, phẫu thuật phân lưu mật tụy tăng số lượng gấp đôi trong giai đoạn 2015-2018.</w:t>
      </w:r>
    </w:p>
    <w:p w14:paraId="74C97698"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Trong giai đoạn 2005 đến 2009 tại châu Á có 6598 bệnh nhân được phẫu thuật giảm béo trong đó phẫu thuật đặt vòng thắt dạ dày chiếm tỷ lệ cao nhất 35,9%, phẫu thuật nối tắt dạ dày ruột chiếm tỷ lệ 24,3%, phẫu thuật tạo hình dạ dày ống đứng chiếm tỷ lệ 19,5%, phẫu thuật nối tắt dạ dày với một miệng nối chiếm tỷ lệ 15,4%.</w:t>
      </w:r>
    </w:p>
    <w:p w14:paraId="6FD79229"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Tại Hàn Quốc vào năm 2013 có 1686 ca phẫu thuật giảm béo được thực hiện trong đó phẫu thuật đặt vòng thắt dạ dày chiếm tỷ lệ 67,2%, phẫu thuật tạo hình dạ dày hình ống đứng chiếm tỷ lệ 14,2%, phẫu thuật nối tắt dạ dày hỗng tràng chiếm tỷ lệ 12,8%, các phương pháp khác chiếm tỷ lệ 3,3%. Vào năm 2016 tỷ lệ này tại Hàn Quốc thay đổi như sau: phẫu thuật tạo hình dạ dày ống đứng chiếm tỷ lệ 43,6%, phẫu thuật nối tắt dạ dày chiếm tỷ lệ 13,5%, phẫu thuật đặt vòng thắt dạ dày chiếm khoảng 40%.</w:t>
      </w:r>
    </w:p>
    <w:p w14:paraId="3C0F334B" w14:textId="77777777" w:rsidR="00F02947" w:rsidRPr="00FE7693" w:rsidRDefault="00411C86" w:rsidP="00FE7693">
      <w:pPr>
        <w:widowControl w:val="0"/>
        <w:autoSpaceDE w:val="0"/>
        <w:autoSpaceDN w:val="0"/>
        <w:adjustRightInd w:val="0"/>
        <w:spacing w:before="120"/>
        <w:rPr>
          <w:rFonts w:ascii="Arial" w:hAnsi="Arial" w:cs="Arial"/>
          <w:b/>
          <w:sz w:val="20"/>
        </w:rPr>
      </w:pPr>
      <w:r w:rsidRPr="00FE7693">
        <w:rPr>
          <w:rFonts w:ascii="Arial" w:hAnsi="Arial" w:cs="Arial"/>
          <w:b/>
          <w:sz w:val="20"/>
        </w:rPr>
        <w:t>7. BÉO PHÌ Ở TRẺ EM VÀ THANH THIẾU NIÊN</w:t>
      </w:r>
    </w:p>
    <w:p w14:paraId="2E2F9C97"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Béo phì ở trẻ em và thanh thiếu niên đang gia tăng nhanh chóng do thay đổi chế độ ăn uống, môi trường sống, giảm hoạt động thể lực. Đây là một bệnh mãn tính khó điều trị và dễ dàng phát triển thành béo phì ở người lớn, đòi hỏi một chế độ ăn uống lành mạnh và lối sống năng động trong suốt cuộc đời. Do đó, nên thiết lập chính sách nhằm phát hiện và điều trị sớm.</w:t>
      </w:r>
    </w:p>
    <w:p w14:paraId="7397063F"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Để đánh giá tình trạng béo phì ở trẻ em và thanh thiếu niên, điều quan trọng là đánh giá xu hướng béo phì theo tốc độ tăng trưởng và tình trạng phát triển thông qua việc kiểm tra thường xuyên. Đối với trẻ em từ 2 tuổi trở lên và thanh thiếu niên, BMI phân biệt theo tuổi và giới tính và thường được gọi là BMI theo tuổi. Tuổi được tính bằng tháng.</w:t>
      </w:r>
    </w:p>
    <w:p w14:paraId="03D7A457"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Bảng 7.1. Phân loại tình trạng cân nặng dựa trên BMI theo tuổi và bách phân vị tương 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98"/>
        <w:gridCol w:w="3932"/>
      </w:tblGrid>
      <w:tr w:rsidR="00F02947" w:rsidRPr="00FE7693" w14:paraId="66C6A722" w14:textId="77777777">
        <w:tblPrEx>
          <w:tblCellMar>
            <w:top w:w="0" w:type="dxa"/>
            <w:left w:w="0" w:type="dxa"/>
            <w:bottom w:w="0" w:type="dxa"/>
            <w:right w:w="0" w:type="dxa"/>
          </w:tblCellMar>
        </w:tblPrEx>
        <w:tc>
          <w:tcPr>
            <w:tcW w:w="2722" w:type="pct"/>
            <w:vAlign w:val="center"/>
          </w:tcPr>
          <w:p w14:paraId="02C83E0E" w14:textId="77777777" w:rsidR="00F02947" w:rsidRPr="00FE7693" w:rsidRDefault="00F02947"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Phân loại</w:t>
            </w:r>
            <w:r w:rsidR="00411C86" w:rsidRPr="00FE7693">
              <w:rPr>
                <w:rFonts w:ascii="Arial" w:hAnsi="Arial" w:cs="Arial"/>
                <w:b/>
                <w:sz w:val="20"/>
              </w:rPr>
              <w:t xml:space="preserve"> </w:t>
            </w:r>
          </w:p>
        </w:tc>
        <w:tc>
          <w:tcPr>
            <w:tcW w:w="2278" w:type="pct"/>
            <w:vAlign w:val="center"/>
          </w:tcPr>
          <w:p w14:paraId="57014526" w14:textId="77777777" w:rsidR="00F02947" w:rsidRPr="00FE7693" w:rsidRDefault="00F02947"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Bách phân vị</w:t>
            </w:r>
            <w:r w:rsidR="00411C86" w:rsidRPr="00FE7693">
              <w:rPr>
                <w:rFonts w:ascii="Arial" w:hAnsi="Arial" w:cs="Arial"/>
                <w:b/>
                <w:sz w:val="20"/>
              </w:rPr>
              <w:t xml:space="preserve"> </w:t>
            </w:r>
          </w:p>
        </w:tc>
      </w:tr>
      <w:tr w:rsidR="00411C86" w:rsidRPr="00FE7693" w14:paraId="669B0BA4" w14:textId="77777777">
        <w:tblPrEx>
          <w:tblCellMar>
            <w:top w:w="0" w:type="dxa"/>
            <w:left w:w="0" w:type="dxa"/>
            <w:bottom w:w="0" w:type="dxa"/>
            <w:right w:w="0" w:type="dxa"/>
          </w:tblCellMar>
        </w:tblPrEx>
        <w:tc>
          <w:tcPr>
            <w:tcW w:w="2722" w:type="pct"/>
            <w:vAlign w:val="center"/>
          </w:tcPr>
          <w:p w14:paraId="6E06BC82" w14:textId="77777777" w:rsidR="00411C86" w:rsidRPr="00FE7693" w:rsidRDefault="00026173"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Thiếu cân</w:t>
            </w:r>
          </w:p>
        </w:tc>
        <w:tc>
          <w:tcPr>
            <w:tcW w:w="2278" w:type="pct"/>
            <w:vAlign w:val="center"/>
          </w:tcPr>
          <w:p w14:paraId="137ABC6B" w14:textId="77777777" w:rsidR="00411C86" w:rsidRPr="00FE7693" w:rsidRDefault="00411C86"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&lt; 5</w:t>
            </w:r>
          </w:p>
        </w:tc>
      </w:tr>
      <w:tr w:rsidR="00411C86" w:rsidRPr="00FE7693" w14:paraId="1432B643" w14:textId="77777777">
        <w:tblPrEx>
          <w:tblCellMar>
            <w:top w:w="0" w:type="dxa"/>
            <w:left w:w="0" w:type="dxa"/>
            <w:bottom w:w="0" w:type="dxa"/>
            <w:right w:w="0" w:type="dxa"/>
          </w:tblCellMar>
        </w:tblPrEx>
        <w:tc>
          <w:tcPr>
            <w:tcW w:w="2722" w:type="pct"/>
            <w:vAlign w:val="center"/>
          </w:tcPr>
          <w:p w14:paraId="651A8A50" w14:textId="77777777" w:rsidR="00411C86" w:rsidRPr="00FE7693" w:rsidRDefault="00026173"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Bình thường</w:t>
            </w:r>
          </w:p>
        </w:tc>
        <w:tc>
          <w:tcPr>
            <w:tcW w:w="2278" w:type="pct"/>
            <w:vAlign w:val="center"/>
          </w:tcPr>
          <w:p w14:paraId="463902F1" w14:textId="77777777" w:rsidR="00411C86" w:rsidRPr="00FE7693" w:rsidRDefault="00026173"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5 - &lt; 85</w:t>
            </w:r>
          </w:p>
        </w:tc>
      </w:tr>
      <w:tr w:rsidR="00F02947" w:rsidRPr="00FE7693" w14:paraId="118D2FE3" w14:textId="77777777">
        <w:tblPrEx>
          <w:tblCellMar>
            <w:top w:w="0" w:type="dxa"/>
            <w:left w:w="0" w:type="dxa"/>
            <w:bottom w:w="0" w:type="dxa"/>
            <w:right w:w="0" w:type="dxa"/>
          </w:tblCellMar>
        </w:tblPrEx>
        <w:tc>
          <w:tcPr>
            <w:tcW w:w="2722" w:type="pct"/>
            <w:vAlign w:val="center"/>
          </w:tcPr>
          <w:p w14:paraId="7886F297"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Thừa cân</w:t>
            </w:r>
            <w:r w:rsidR="00411C86" w:rsidRPr="00FE7693">
              <w:rPr>
                <w:rFonts w:ascii="Arial" w:hAnsi="Arial" w:cs="Arial"/>
                <w:sz w:val="20"/>
              </w:rPr>
              <w:t xml:space="preserve"> </w:t>
            </w:r>
          </w:p>
        </w:tc>
        <w:tc>
          <w:tcPr>
            <w:tcW w:w="2278" w:type="pct"/>
            <w:vAlign w:val="center"/>
          </w:tcPr>
          <w:p w14:paraId="6C158B48" w14:textId="77777777" w:rsidR="00F02947" w:rsidRPr="00FE7693" w:rsidRDefault="00F02947"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85 - &lt; 95</w:t>
            </w:r>
          </w:p>
        </w:tc>
      </w:tr>
      <w:tr w:rsidR="00026173" w:rsidRPr="00FE7693" w14:paraId="62FF6F7F" w14:textId="77777777">
        <w:tblPrEx>
          <w:tblCellMar>
            <w:top w:w="0" w:type="dxa"/>
            <w:left w:w="0" w:type="dxa"/>
            <w:bottom w:w="0" w:type="dxa"/>
            <w:right w:w="0" w:type="dxa"/>
          </w:tblCellMar>
        </w:tblPrEx>
        <w:tc>
          <w:tcPr>
            <w:tcW w:w="2722" w:type="pct"/>
            <w:vAlign w:val="center"/>
          </w:tcPr>
          <w:p w14:paraId="7072CC23" w14:textId="77777777" w:rsidR="00026173" w:rsidRPr="00FE7693" w:rsidRDefault="00026173"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Béo phì</w:t>
            </w:r>
          </w:p>
        </w:tc>
        <w:tc>
          <w:tcPr>
            <w:tcW w:w="2278" w:type="pct"/>
            <w:vAlign w:val="center"/>
          </w:tcPr>
          <w:p w14:paraId="7F0E4F26" w14:textId="77777777" w:rsidR="00026173" w:rsidRPr="00FE7693" w:rsidRDefault="00026173" w:rsidP="00FE7693">
            <w:pPr>
              <w:widowControl w:val="0"/>
              <w:autoSpaceDE w:val="0"/>
              <w:autoSpaceDN w:val="0"/>
              <w:adjustRightInd w:val="0"/>
              <w:spacing w:before="120"/>
              <w:jc w:val="center"/>
              <w:rPr>
                <w:rFonts w:ascii="Arial" w:hAnsi="Arial" w:cs="Arial"/>
                <w:sz w:val="20"/>
              </w:rPr>
            </w:pPr>
            <w:r w:rsidRPr="00FE7693">
              <w:rPr>
                <w:rFonts w:ascii="Arial" w:hAnsi="Arial" w:cs="Arial"/>
                <w:sz w:val="20"/>
              </w:rPr>
              <w:t>95</w:t>
            </w:r>
          </w:p>
        </w:tc>
      </w:tr>
    </w:tbl>
    <w:p w14:paraId="7C653D5D"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Điều trị béo phì ở trẻ em và thanh thiếu niên điều quan trọng là duy trì cân nặng thích hợp dựa trên việc thay đổi lối sống. Orlistat và Liraglutide 3,0 mg là thuốc được Cục Quản lý Thực phẩm và Dược phẩm Hoa Kỳ (FDA) và Cơ quan dược phẩm Châu Âu (EMA) phê duyệt để sử dụng cho những người trên 12 tuổi.</w:t>
      </w:r>
    </w:p>
    <w:p w14:paraId="52F01E02" w14:textId="77777777" w:rsidR="00F02947" w:rsidRPr="00FE7693" w:rsidRDefault="00160822" w:rsidP="00FE7693">
      <w:pPr>
        <w:widowControl w:val="0"/>
        <w:autoSpaceDE w:val="0"/>
        <w:autoSpaceDN w:val="0"/>
        <w:adjustRightInd w:val="0"/>
        <w:spacing w:before="120"/>
        <w:rPr>
          <w:rFonts w:ascii="Arial" w:hAnsi="Arial" w:cs="Arial"/>
          <w:b/>
          <w:sz w:val="20"/>
        </w:rPr>
      </w:pPr>
      <w:r w:rsidRPr="00FE7693">
        <w:rPr>
          <w:rFonts w:ascii="Arial" w:hAnsi="Arial" w:cs="Arial"/>
          <w:b/>
          <w:sz w:val="20"/>
        </w:rPr>
        <w:t>8. KẾT LUẬN</w:t>
      </w:r>
    </w:p>
    <w:p w14:paraId="60BC0B11"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Béo phì là một căn bệnh làm tăng gánh nặng về kinh tế xã hội do tăng nguy cơ mắc các bệnh đi kèm liên quan đến béo phì. Việc quản lý được béo phì là đa yếu tố, các phương pháp điều trị béo phì bao gồm các can thiệp toàn diện về lối sống như liệu pháp dinh dưỡng, hoạt động thể chất, liệu pháp tâm lý và sử dụng thuốc.</w:t>
      </w:r>
    </w:p>
    <w:p w14:paraId="29016AF0" w14:textId="77777777" w:rsidR="00F02947" w:rsidRPr="00FE7693" w:rsidRDefault="00F02947"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Phụ lục: Thuốc điều trị bệnh béo phì</w:t>
      </w:r>
    </w:p>
    <w:tbl>
      <w:tblPr>
        <w:tblW w:w="5000" w:type="pct"/>
        <w:tblCellMar>
          <w:left w:w="0" w:type="dxa"/>
          <w:right w:w="0" w:type="dxa"/>
        </w:tblCellMar>
        <w:tblLook w:val="0000" w:firstRow="0" w:lastRow="0" w:firstColumn="0" w:lastColumn="0" w:noHBand="0" w:noVBand="0"/>
      </w:tblPr>
      <w:tblGrid>
        <w:gridCol w:w="3127"/>
        <w:gridCol w:w="2793"/>
        <w:gridCol w:w="2710"/>
      </w:tblGrid>
      <w:tr w:rsidR="00F02947" w:rsidRPr="00FE7693" w14:paraId="383ED91D"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367031E9" w14:textId="77777777" w:rsidR="00F02947" w:rsidRPr="00FE7693" w:rsidRDefault="00F02947" w:rsidP="00FE7693">
            <w:pPr>
              <w:widowControl w:val="0"/>
              <w:autoSpaceDE w:val="0"/>
              <w:autoSpaceDN w:val="0"/>
              <w:adjustRightInd w:val="0"/>
              <w:spacing w:before="120"/>
              <w:rPr>
                <w:rFonts w:ascii="Arial" w:hAnsi="Arial" w:cs="Arial"/>
                <w:b/>
                <w:sz w:val="20"/>
              </w:rPr>
            </w:pPr>
            <w:r w:rsidRPr="00FE7693">
              <w:rPr>
                <w:rFonts w:ascii="Arial" w:hAnsi="Arial" w:cs="Arial"/>
                <w:b/>
                <w:sz w:val="20"/>
              </w:rPr>
              <w:t>Nội dung</w:t>
            </w:r>
          </w:p>
        </w:tc>
        <w:tc>
          <w:tcPr>
            <w:tcW w:w="1618" w:type="pct"/>
            <w:tcBorders>
              <w:top w:val="single" w:sz="4" w:space="0" w:color="000000"/>
              <w:left w:val="single" w:sz="4" w:space="0" w:color="000000"/>
              <w:bottom w:val="single" w:sz="4" w:space="0" w:color="000000"/>
              <w:right w:val="single" w:sz="4" w:space="0" w:color="000000"/>
            </w:tcBorders>
          </w:tcPr>
          <w:p w14:paraId="09377E61" w14:textId="77777777" w:rsidR="00F02947" w:rsidRPr="00FE7693" w:rsidRDefault="00F02947"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Orlistat</w:t>
            </w:r>
          </w:p>
        </w:tc>
        <w:tc>
          <w:tcPr>
            <w:tcW w:w="1570" w:type="pct"/>
            <w:tcBorders>
              <w:top w:val="single" w:sz="4" w:space="0" w:color="000000"/>
              <w:left w:val="single" w:sz="4" w:space="0" w:color="000000"/>
              <w:bottom w:val="single" w:sz="4" w:space="0" w:color="000000"/>
              <w:right w:val="single" w:sz="4" w:space="0" w:color="000000"/>
            </w:tcBorders>
          </w:tcPr>
          <w:p w14:paraId="30F814B3" w14:textId="77777777" w:rsidR="00F02947" w:rsidRPr="00FE7693" w:rsidRDefault="00F02947"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Liraglutide</w:t>
            </w:r>
          </w:p>
        </w:tc>
      </w:tr>
      <w:tr w:rsidR="00F02947" w:rsidRPr="00FE7693" w14:paraId="0435960C"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5E1C0F51"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Đường dùng</w:t>
            </w:r>
          </w:p>
        </w:tc>
        <w:tc>
          <w:tcPr>
            <w:tcW w:w="1618" w:type="pct"/>
            <w:tcBorders>
              <w:top w:val="single" w:sz="4" w:space="0" w:color="000000"/>
              <w:left w:val="single" w:sz="4" w:space="0" w:color="000000"/>
              <w:bottom w:val="single" w:sz="4" w:space="0" w:color="000000"/>
              <w:right w:val="single" w:sz="4" w:space="0" w:color="000000"/>
            </w:tcBorders>
          </w:tcPr>
          <w:p w14:paraId="758471D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Uống</w:t>
            </w:r>
          </w:p>
        </w:tc>
        <w:tc>
          <w:tcPr>
            <w:tcW w:w="1570" w:type="pct"/>
            <w:tcBorders>
              <w:top w:val="single" w:sz="4" w:space="0" w:color="000000"/>
              <w:left w:val="single" w:sz="4" w:space="0" w:color="000000"/>
              <w:bottom w:val="single" w:sz="4" w:space="0" w:color="000000"/>
              <w:right w:val="single" w:sz="4" w:space="0" w:color="000000"/>
            </w:tcBorders>
          </w:tcPr>
          <w:p w14:paraId="75100FA8"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Tiêm dưới da</w:t>
            </w:r>
          </w:p>
        </w:tc>
      </w:tr>
      <w:tr w:rsidR="00F02947" w:rsidRPr="00FE7693" w14:paraId="66EE29B3"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16CA0123"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Liều lượng, số lần</w:t>
            </w:r>
          </w:p>
        </w:tc>
        <w:tc>
          <w:tcPr>
            <w:tcW w:w="1618" w:type="pct"/>
            <w:tcBorders>
              <w:top w:val="single" w:sz="4" w:space="0" w:color="000000"/>
              <w:left w:val="single" w:sz="4" w:space="0" w:color="000000"/>
              <w:bottom w:val="single" w:sz="4" w:space="0" w:color="000000"/>
              <w:right w:val="single" w:sz="4" w:space="0" w:color="000000"/>
            </w:tcBorders>
          </w:tcPr>
          <w:p w14:paraId="5E9A46B9"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120 mg x 3 lần/ngày</w:t>
            </w:r>
          </w:p>
        </w:tc>
        <w:tc>
          <w:tcPr>
            <w:tcW w:w="1570" w:type="pct"/>
            <w:tcBorders>
              <w:top w:val="single" w:sz="4" w:space="0" w:color="000000"/>
              <w:left w:val="single" w:sz="4" w:space="0" w:color="000000"/>
              <w:bottom w:val="single" w:sz="4" w:space="0" w:color="000000"/>
              <w:right w:val="single" w:sz="4" w:space="0" w:color="000000"/>
            </w:tcBorders>
          </w:tcPr>
          <w:p w14:paraId="5F980B1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3,0mg/ngày</w:t>
            </w:r>
          </w:p>
        </w:tc>
      </w:tr>
      <w:tr w:rsidR="00F02947" w:rsidRPr="00FE7693" w14:paraId="2588C294"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59C2A8A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giảm % cân nặng</w:t>
            </w:r>
            <w:r w:rsidR="00160822" w:rsidRPr="00FE7693">
              <w:rPr>
                <w:rFonts w:ascii="Arial" w:hAnsi="Arial" w:cs="Arial"/>
                <w:sz w:val="20"/>
              </w:rPr>
              <w:t xml:space="preserve"> </w:t>
            </w:r>
            <w:r w:rsidRPr="00FE7693">
              <w:rPr>
                <w:rFonts w:ascii="Arial" w:hAnsi="Arial" w:cs="Arial"/>
                <w:sz w:val="20"/>
              </w:rPr>
              <w:t>tại thời điểm 1 năm, trừ giả dược</w:t>
            </w:r>
          </w:p>
        </w:tc>
        <w:tc>
          <w:tcPr>
            <w:tcW w:w="1618" w:type="pct"/>
            <w:tcBorders>
              <w:top w:val="single" w:sz="4" w:space="0" w:color="000000"/>
              <w:left w:val="single" w:sz="4" w:space="0" w:color="000000"/>
              <w:bottom w:val="single" w:sz="4" w:space="0" w:color="000000"/>
              <w:right w:val="single" w:sz="4" w:space="0" w:color="000000"/>
            </w:tcBorders>
          </w:tcPr>
          <w:p w14:paraId="1BCC9C02"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2,9%</w:t>
            </w:r>
          </w:p>
        </w:tc>
        <w:tc>
          <w:tcPr>
            <w:tcW w:w="1570" w:type="pct"/>
            <w:tcBorders>
              <w:top w:val="single" w:sz="4" w:space="0" w:color="000000"/>
              <w:left w:val="single" w:sz="4" w:space="0" w:color="000000"/>
              <w:bottom w:val="single" w:sz="4" w:space="0" w:color="000000"/>
              <w:right w:val="single" w:sz="4" w:space="0" w:color="000000"/>
            </w:tcBorders>
          </w:tcPr>
          <w:p w14:paraId="1389B8F1"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5,4%</w:t>
            </w:r>
          </w:p>
        </w:tc>
      </w:tr>
      <w:tr w:rsidR="00F02947" w:rsidRPr="00FE7693" w14:paraId="6186FF3D"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0A9D771E"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dài hạn trên cân</w:t>
            </w:r>
            <w:r w:rsidR="00160822" w:rsidRPr="00FE7693">
              <w:rPr>
                <w:rFonts w:ascii="Arial" w:hAnsi="Arial" w:cs="Arial"/>
                <w:sz w:val="20"/>
              </w:rPr>
              <w:t xml:space="preserve"> </w:t>
            </w:r>
            <w:r w:rsidRPr="00FE7693">
              <w:rPr>
                <w:rFonts w:ascii="Arial" w:hAnsi="Arial" w:cs="Arial"/>
                <w:sz w:val="20"/>
              </w:rPr>
              <w:t>nặng, trừ giả dược</w:t>
            </w:r>
          </w:p>
        </w:tc>
        <w:tc>
          <w:tcPr>
            <w:tcW w:w="1618" w:type="pct"/>
            <w:tcBorders>
              <w:top w:val="single" w:sz="4" w:space="0" w:color="000000"/>
              <w:left w:val="single" w:sz="4" w:space="0" w:color="000000"/>
              <w:bottom w:val="single" w:sz="4" w:space="0" w:color="000000"/>
              <w:right w:val="single" w:sz="4" w:space="0" w:color="000000"/>
            </w:tcBorders>
          </w:tcPr>
          <w:p w14:paraId="55EF7B1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2,8kg tại thời điểm</w:t>
            </w:r>
            <w:r w:rsidR="00160822" w:rsidRPr="00FE7693">
              <w:rPr>
                <w:rFonts w:ascii="Arial" w:hAnsi="Arial" w:cs="Arial"/>
                <w:sz w:val="20"/>
              </w:rPr>
              <w:t xml:space="preserve"> </w:t>
            </w:r>
            <w:r w:rsidRPr="00FE7693">
              <w:rPr>
                <w:rFonts w:ascii="Arial" w:hAnsi="Arial" w:cs="Arial"/>
                <w:sz w:val="20"/>
              </w:rPr>
              <w:t>4 năm</w:t>
            </w:r>
          </w:p>
        </w:tc>
        <w:tc>
          <w:tcPr>
            <w:tcW w:w="1570" w:type="pct"/>
            <w:tcBorders>
              <w:top w:val="single" w:sz="4" w:space="0" w:color="000000"/>
              <w:left w:val="single" w:sz="4" w:space="0" w:color="000000"/>
              <w:bottom w:val="single" w:sz="4" w:space="0" w:color="000000"/>
              <w:right w:val="single" w:sz="4" w:space="0" w:color="000000"/>
            </w:tcBorders>
          </w:tcPr>
          <w:p w14:paraId="5F51D5E1"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4,2% tại thời điểm</w:t>
            </w:r>
            <w:r w:rsidR="00160822" w:rsidRPr="00FE7693">
              <w:rPr>
                <w:rFonts w:ascii="Arial" w:hAnsi="Arial" w:cs="Arial"/>
                <w:sz w:val="20"/>
              </w:rPr>
              <w:t xml:space="preserve"> </w:t>
            </w:r>
            <w:r w:rsidRPr="00FE7693">
              <w:rPr>
                <w:rFonts w:ascii="Arial" w:hAnsi="Arial" w:cs="Arial"/>
                <w:sz w:val="20"/>
              </w:rPr>
              <w:t>3 năm</w:t>
            </w:r>
          </w:p>
        </w:tc>
      </w:tr>
      <w:tr w:rsidR="00F02947" w:rsidRPr="00FE7693" w14:paraId="67C812E2"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12FAB39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 bệnh nhân đạt giảm ≥ 5%</w:t>
            </w:r>
            <w:r w:rsidR="00160822" w:rsidRPr="00FE7693">
              <w:rPr>
                <w:rFonts w:ascii="Arial" w:hAnsi="Arial" w:cs="Arial"/>
                <w:sz w:val="20"/>
              </w:rPr>
              <w:t xml:space="preserve"> </w:t>
            </w:r>
            <w:r w:rsidRPr="00FE7693">
              <w:rPr>
                <w:rFonts w:ascii="Arial" w:hAnsi="Arial" w:cs="Arial"/>
                <w:sz w:val="20"/>
              </w:rPr>
              <w:t>cân nặng tại thời điểm 1 năm</w:t>
            </w:r>
          </w:p>
        </w:tc>
        <w:tc>
          <w:tcPr>
            <w:tcW w:w="1618" w:type="pct"/>
            <w:tcBorders>
              <w:top w:val="single" w:sz="4" w:space="0" w:color="000000"/>
              <w:left w:val="single" w:sz="4" w:space="0" w:color="000000"/>
              <w:bottom w:val="single" w:sz="4" w:space="0" w:color="000000"/>
              <w:right w:val="single" w:sz="4" w:space="0" w:color="000000"/>
            </w:tcBorders>
          </w:tcPr>
          <w:p w14:paraId="36C82E9A"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54% (so với 33% ở giả</w:t>
            </w:r>
            <w:r w:rsidR="00160822" w:rsidRPr="00FE7693">
              <w:rPr>
                <w:rFonts w:ascii="Arial" w:hAnsi="Arial" w:cs="Arial"/>
                <w:sz w:val="20"/>
              </w:rPr>
              <w:t xml:space="preserve"> </w:t>
            </w:r>
            <w:r w:rsidRPr="00FE7693">
              <w:rPr>
                <w:rFonts w:ascii="Arial" w:hAnsi="Arial" w:cs="Arial"/>
                <w:sz w:val="20"/>
              </w:rPr>
              <w:t>dược)</w:t>
            </w:r>
          </w:p>
        </w:tc>
        <w:tc>
          <w:tcPr>
            <w:tcW w:w="1570" w:type="pct"/>
            <w:tcBorders>
              <w:top w:val="single" w:sz="4" w:space="0" w:color="000000"/>
              <w:left w:val="single" w:sz="4" w:space="0" w:color="000000"/>
              <w:bottom w:val="single" w:sz="4" w:space="0" w:color="000000"/>
              <w:right w:val="single" w:sz="4" w:space="0" w:color="000000"/>
            </w:tcBorders>
          </w:tcPr>
          <w:p w14:paraId="38B08AC2"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63,2% (so với 27,1% ở</w:t>
            </w:r>
            <w:r w:rsidR="00160822" w:rsidRPr="00FE7693">
              <w:rPr>
                <w:rFonts w:ascii="Arial" w:hAnsi="Arial" w:cs="Arial"/>
                <w:sz w:val="20"/>
              </w:rPr>
              <w:t xml:space="preserve"> </w:t>
            </w:r>
            <w:r w:rsidRPr="00FE7693">
              <w:rPr>
                <w:rFonts w:ascii="Arial" w:hAnsi="Arial" w:cs="Arial"/>
                <w:sz w:val="20"/>
              </w:rPr>
              <w:t>giả dược)</w:t>
            </w:r>
          </w:p>
        </w:tc>
      </w:tr>
      <w:tr w:rsidR="00F02947" w:rsidRPr="00FE7693" w14:paraId="775DF2D5"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0189633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 bệnh nhân đạt giảm ≥ 10%</w:t>
            </w:r>
            <w:r w:rsidR="00160822" w:rsidRPr="00FE7693">
              <w:rPr>
                <w:rFonts w:ascii="Arial" w:hAnsi="Arial" w:cs="Arial"/>
                <w:sz w:val="20"/>
              </w:rPr>
              <w:t xml:space="preserve"> </w:t>
            </w:r>
            <w:r w:rsidRPr="00FE7693">
              <w:rPr>
                <w:rFonts w:ascii="Arial" w:hAnsi="Arial" w:cs="Arial"/>
                <w:sz w:val="20"/>
              </w:rPr>
              <w:t>cân nặng tại thời điểm 1 năm</w:t>
            </w:r>
          </w:p>
        </w:tc>
        <w:tc>
          <w:tcPr>
            <w:tcW w:w="1618" w:type="pct"/>
            <w:tcBorders>
              <w:top w:val="single" w:sz="4" w:space="0" w:color="000000"/>
              <w:left w:val="single" w:sz="4" w:space="0" w:color="000000"/>
              <w:bottom w:val="single" w:sz="4" w:space="0" w:color="000000"/>
              <w:right w:val="single" w:sz="4" w:space="0" w:color="000000"/>
            </w:tcBorders>
          </w:tcPr>
          <w:p w14:paraId="0EAFD2CE"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26% (so với 14% ở giả</w:t>
            </w:r>
            <w:r w:rsidR="00160822" w:rsidRPr="00FE7693">
              <w:rPr>
                <w:rFonts w:ascii="Arial" w:hAnsi="Arial" w:cs="Arial"/>
                <w:sz w:val="20"/>
              </w:rPr>
              <w:t xml:space="preserve"> </w:t>
            </w:r>
            <w:r w:rsidRPr="00FE7693">
              <w:rPr>
                <w:rFonts w:ascii="Arial" w:hAnsi="Arial" w:cs="Arial"/>
                <w:sz w:val="20"/>
              </w:rPr>
              <w:t>dược)</w:t>
            </w:r>
          </w:p>
        </w:tc>
        <w:tc>
          <w:tcPr>
            <w:tcW w:w="1570" w:type="pct"/>
            <w:tcBorders>
              <w:top w:val="single" w:sz="4" w:space="0" w:color="000000"/>
              <w:left w:val="single" w:sz="4" w:space="0" w:color="000000"/>
              <w:bottom w:val="single" w:sz="4" w:space="0" w:color="000000"/>
              <w:right w:val="single" w:sz="4" w:space="0" w:color="000000"/>
            </w:tcBorders>
          </w:tcPr>
          <w:p w14:paraId="0A36E78E"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33,1% (so với 10,6% ở</w:t>
            </w:r>
            <w:r w:rsidR="00160822" w:rsidRPr="00FE7693">
              <w:rPr>
                <w:rFonts w:ascii="Arial" w:hAnsi="Arial" w:cs="Arial"/>
                <w:sz w:val="20"/>
              </w:rPr>
              <w:t xml:space="preserve"> </w:t>
            </w:r>
            <w:r w:rsidRPr="00FE7693">
              <w:rPr>
                <w:rFonts w:ascii="Arial" w:hAnsi="Arial" w:cs="Arial"/>
                <w:sz w:val="20"/>
              </w:rPr>
              <w:t>giả dược)</w:t>
            </w:r>
          </w:p>
        </w:tc>
      </w:tr>
      <w:tr w:rsidR="00F02947" w:rsidRPr="00FE7693" w14:paraId="3516A103"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6A39DF6F"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Hiệu quả duy trì giảm cân</w:t>
            </w:r>
            <w:r w:rsidR="00160822" w:rsidRPr="00FE7693">
              <w:rPr>
                <w:rFonts w:ascii="Arial" w:hAnsi="Arial" w:cs="Arial"/>
                <w:sz w:val="20"/>
              </w:rPr>
              <w:t xml:space="preserve"> </w:t>
            </w:r>
            <w:r w:rsidRPr="00FE7693">
              <w:rPr>
                <w:rFonts w:ascii="Arial" w:hAnsi="Arial" w:cs="Arial"/>
                <w:sz w:val="20"/>
              </w:rPr>
              <w:t>trước đó</w:t>
            </w:r>
          </w:p>
        </w:tc>
        <w:tc>
          <w:tcPr>
            <w:tcW w:w="1618" w:type="pct"/>
            <w:tcBorders>
              <w:top w:val="single" w:sz="4" w:space="0" w:color="000000"/>
              <w:left w:val="single" w:sz="4" w:space="0" w:color="000000"/>
              <w:bottom w:val="single" w:sz="4" w:space="0" w:color="000000"/>
              <w:right w:val="single" w:sz="4" w:space="0" w:color="000000"/>
            </w:tcBorders>
          </w:tcPr>
          <w:p w14:paraId="493D85E8"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Tăng cân lại ít hơn 2,4kg</w:t>
            </w:r>
            <w:r w:rsidR="00160822" w:rsidRPr="00FE7693">
              <w:rPr>
                <w:rFonts w:ascii="Arial" w:hAnsi="Arial" w:cs="Arial"/>
                <w:sz w:val="20"/>
              </w:rPr>
              <w:t xml:space="preserve"> </w:t>
            </w:r>
            <w:r w:rsidRPr="00FE7693">
              <w:rPr>
                <w:rFonts w:ascii="Arial" w:hAnsi="Arial" w:cs="Arial"/>
                <w:sz w:val="20"/>
              </w:rPr>
              <w:t>so với giả dược trong hơn</w:t>
            </w:r>
            <w:r w:rsidR="00160822" w:rsidRPr="00FE7693">
              <w:rPr>
                <w:rFonts w:ascii="Arial" w:hAnsi="Arial" w:cs="Arial"/>
                <w:sz w:val="20"/>
              </w:rPr>
              <w:t xml:space="preserve"> </w:t>
            </w:r>
            <w:r w:rsidRPr="00FE7693">
              <w:rPr>
                <w:rFonts w:ascii="Arial" w:hAnsi="Arial" w:cs="Arial"/>
                <w:sz w:val="20"/>
              </w:rPr>
              <w:t>3 năm</w:t>
            </w:r>
          </w:p>
        </w:tc>
        <w:tc>
          <w:tcPr>
            <w:tcW w:w="1570" w:type="pct"/>
            <w:tcBorders>
              <w:top w:val="single" w:sz="4" w:space="0" w:color="000000"/>
              <w:left w:val="single" w:sz="4" w:space="0" w:color="000000"/>
              <w:bottom w:val="single" w:sz="4" w:space="0" w:color="000000"/>
              <w:right w:val="single" w:sz="4" w:space="0" w:color="000000"/>
            </w:tcBorders>
          </w:tcPr>
          <w:p w14:paraId="5846F44A"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thêm 6% cân nặng</w:t>
            </w:r>
            <w:r w:rsidR="00160822" w:rsidRPr="00FE7693">
              <w:rPr>
                <w:rFonts w:ascii="Arial" w:hAnsi="Arial" w:cs="Arial"/>
                <w:sz w:val="20"/>
              </w:rPr>
              <w:t xml:space="preserve"> </w:t>
            </w:r>
            <w:r w:rsidRPr="00FE7693">
              <w:rPr>
                <w:rFonts w:ascii="Arial" w:hAnsi="Arial" w:cs="Arial"/>
                <w:sz w:val="20"/>
              </w:rPr>
              <w:t>trừ giả dược lúc 1 năm</w:t>
            </w:r>
          </w:p>
        </w:tc>
      </w:tr>
      <w:tr w:rsidR="00F02947" w:rsidRPr="00FE7693" w14:paraId="18442140"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402BB9AB"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trên tiền đái tháo</w:t>
            </w:r>
            <w:r w:rsidR="00160822" w:rsidRPr="00FE7693">
              <w:rPr>
                <w:rFonts w:ascii="Arial" w:hAnsi="Arial" w:cs="Arial"/>
                <w:sz w:val="20"/>
              </w:rPr>
              <w:t xml:space="preserve"> </w:t>
            </w:r>
            <w:r w:rsidRPr="00FE7693">
              <w:rPr>
                <w:rFonts w:ascii="Arial" w:hAnsi="Arial" w:cs="Arial"/>
                <w:sz w:val="20"/>
              </w:rPr>
              <w:t>đường</w:t>
            </w:r>
          </w:p>
        </w:tc>
        <w:tc>
          <w:tcPr>
            <w:tcW w:w="1618" w:type="pct"/>
            <w:tcBorders>
              <w:top w:val="single" w:sz="4" w:space="0" w:color="000000"/>
              <w:left w:val="single" w:sz="4" w:space="0" w:color="000000"/>
              <w:bottom w:val="single" w:sz="4" w:space="0" w:color="000000"/>
              <w:right w:val="single" w:sz="4" w:space="0" w:color="000000"/>
            </w:tcBorders>
          </w:tcPr>
          <w:p w14:paraId="687EBD32"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37,3% nguy cơ diễn</w:t>
            </w:r>
            <w:r w:rsidR="00160822" w:rsidRPr="00FE7693">
              <w:rPr>
                <w:rFonts w:ascii="Arial" w:hAnsi="Arial" w:cs="Arial"/>
                <w:sz w:val="20"/>
              </w:rPr>
              <w:t xml:space="preserve"> </w:t>
            </w:r>
            <w:r w:rsidRPr="00FE7693">
              <w:rPr>
                <w:rFonts w:ascii="Arial" w:hAnsi="Arial" w:cs="Arial"/>
                <w:sz w:val="20"/>
              </w:rPr>
              <w:t>tiến đến đái tháo đường</w:t>
            </w:r>
            <w:r w:rsidR="00160822" w:rsidRPr="00FE7693">
              <w:rPr>
                <w:rFonts w:ascii="Arial" w:hAnsi="Arial" w:cs="Arial"/>
                <w:sz w:val="20"/>
              </w:rPr>
              <w:t xml:space="preserve"> </w:t>
            </w:r>
            <w:r w:rsidRPr="00FE7693">
              <w:rPr>
                <w:rFonts w:ascii="Arial" w:hAnsi="Arial" w:cs="Arial"/>
                <w:sz w:val="20"/>
              </w:rPr>
              <w:t>típ 2 trong hơn 4 năm</w:t>
            </w:r>
          </w:p>
        </w:tc>
        <w:tc>
          <w:tcPr>
            <w:tcW w:w="1570" w:type="pct"/>
            <w:tcBorders>
              <w:top w:val="single" w:sz="4" w:space="0" w:color="000000"/>
              <w:left w:val="single" w:sz="4" w:space="0" w:color="000000"/>
              <w:bottom w:val="single" w:sz="4" w:space="0" w:color="000000"/>
              <w:right w:val="single" w:sz="4" w:space="0" w:color="000000"/>
            </w:tcBorders>
          </w:tcPr>
          <w:p w14:paraId="612D0C77"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79% nguy cơ diễn</w:t>
            </w:r>
            <w:r w:rsidR="00160822" w:rsidRPr="00FE7693">
              <w:rPr>
                <w:rFonts w:ascii="Arial" w:hAnsi="Arial" w:cs="Arial"/>
                <w:sz w:val="20"/>
              </w:rPr>
              <w:t xml:space="preserve"> </w:t>
            </w:r>
            <w:r w:rsidRPr="00FE7693">
              <w:rPr>
                <w:rFonts w:ascii="Arial" w:hAnsi="Arial" w:cs="Arial"/>
                <w:sz w:val="20"/>
              </w:rPr>
              <w:t>tiến đến đái tháo đường</w:t>
            </w:r>
            <w:r w:rsidR="00160822" w:rsidRPr="00FE7693">
              <w:rPr>
                <w:rFonts w:ascii="Arial" w:hAnsi="Arial" w:cs="Arial"/>
                <w:sz w:val="20"/>
              </w:rPr>
              <w:t xml:space="preserve"> </w:t>
            </w:r>
            <w:r w:rsidRPr="00FE7693">
              <w:rPr>
                <w:rFonts w:ascii="Arial" w:hAnsi="Arial" w:cs="Arial"/>
                <w:sz w:val="20"/>
              </w:rPr>
              <w:t>típ 2 trong hơn 3 năm</w:t>
            </w:r>
          </w:p>
        </w:tc>
      </w:tr>
      <w:tr w:rsidR="00F02947" w:rsidRPr="00FE7693" w14:paraId="3BCEEAB9"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08BC5CEF"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trên huyết áp tại</w:t>
            </w:r>
            <w:r w:rsidR="00160822" w:rsidRPr="00FE7693">
              <w:rPr>
                <w:rFonts w:ascii="Arial" w:hAnsi="Arial" w:cs="Arial"/>
                <w:sz w:val="20"/>
              </w:rPr>
              <w:t xml:space="preserve"> </w:t>
            </w:r>
            <w:r w:rsidRPr="00FE7693">
              <w:rPr>
                <w:rFonts w:ascii="Arial" w:hAnsi="Arial" w:cs="Arial"/>
                <w:sz w:val="20"/>
              </w:rPr>
              <w:t>thời điểm 1 năm, trừ giả dược</w:t>
            </w:r>
          </w:p>
        </w:tc>
        <w:tc>
          <w:tcPr>
            <w:tcW w:w="1618" w:type="pct"/>
            <w:tcBorders>
              <w:top w:val="single" w:sz="4" w:space="0" w:color="000000"/>
              <w:left w:val="single" w:sz="4" w:space="0" w:color="000000"/>
              <w:bottom w:val="single" w:sz="4" w:space="0" w:color="000000"/>
              <w:right w:val="single" w:sz="4" w:space="0" w:color="000000"/>
            </w:tcBorders>
          </w:tcPr>
          <w:p w14:paraId="3D45F7A5" w14:textId="77777777" w:rsidR="00160822"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1,9 mmHg HATT</w:t>
            </w:r>
            <w:r w:rsidR="00160822" w:rsidRPr="00FE7693">
              <w:rPr>
                <w:rFonts w:ascii="Arial" w:hAnsi="Arial" w:cs="Arial"/>
                <w:sz w:val="20"/>
              </w:rPr>
              <w:t xml:space="preserve"> </w:t>
            </w:r>
          </w:p>
          <w:p w14:paraId="403A3EF9"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1,5 mmHg HATTr</w:t>
            </w:r>
          </w:p>
        </w:tc>
        <w:tc>
          <w:tcPr>
            <w:tcW w:w="1570" w:type="pct"/>
            <w:tcBorders>
              <w:top w:val="single" w:sz="4" w:space="0" w:color="000000"/>
              <w:left w:val="single" w:sz="4" w:space="0" w:color="000000"/>
              <w:bottom w:val="single" w:sz="4" w:space="0" w:color="000000"/>
              <w:right w:val="single" w:sz="4" w:space="0" w:color="000000"/>
            </w:tcBorders>
          </w:tcPr>
          <w:p w14:paraId="158E9B9E" w14:textId="77777777" w:rsidR="00160822"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2,8 mmHg HATT</w:t>
            </w:r>
            <w:r w:rsidR="00160822" w:rsidRPr="00FE7693">
              <w:rPr>
                <w:rFonts w:ascii="Arial" w:hAnsi="Arial" w:cs="Arial"/>
                <w:sz w:val="20"/>
              </w:rPr>
              <w:t xml:space="preserve"> </w:t>
            </w:r>
          </w:p>
          <w:p w14:paraId="1AF4C8FA"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0,9 mmHg HATTr</w:t>
            </w:r>
          </w:p>
        </w:tc>
      </w:tr>
      <w:tr w:rsidR="00F02947" w:rsidRPr="00FE7693" w14:paraId="529BE7E1"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0C0F9520"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trên lipid tại thời</w:t>
            </w:r>
            <w:r w:rsidR="00160822" w:rsidRPr="00FE7693">
              <w:rPr>
                <w:rFonts w:ascii="Arial" w:hAnsi="Arial" w:cs="Arial"/>
                <w:sz w:val="20"/>
              </w:rPr>
              <w:t xml:space="preserve"> </w:t>
            </w:r>
            <w:r w:rsidRPr="00FE7693">
              <w:rPr>
                <w:rFonts w:ascii="Arial" w:hAnsi="Arial" w:cs="Arial"/>
                <w:sz w:val="20"/>
              </w:rPr>
              <w:t>điểm 1 năm, trừ giả dược</w:t>
            </w:r>
          </w:p>
        </w:tc>
        <w:tc>
          <w:tcPr>
            <w:tcW w:w="1618" w:type="pct"/>
            <w:tcBorders>
              <w:top w:val="single" w:sz="4" w:space="0" w:color="000000"/>
              <w:left w:val="single" w:sz="4" w:space="0" w:color="000000"/>
              <w:bottom w:val="single" w:sz="4" w:space="0" w:color="000000"/>
              <w:right w:val="single" w:sz="4" w:space="0" w:color="000000"/>
            </w:tcBorders>
          </w:tcPr>
          <w:p w14:paraId="4CD89EE7" w14:textId="77777777" w:rsidR="00160822"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0,27 mmol/L</w:t>
            </w:r>
            <w:r w:rsidR="00160822" w:rsidRPr="00FE7693">
              <w:rPr>
                <w:rFonts w:ascii="Arial" w:hAnsi="Arial" w:cs="Arial"/>
                <w:sz w:val="20"/>
              </w:rPr>
              <w:t xml:space="preserve"> </w:t>
            </w:r>
            <w:r w:rsidRPr="00FE7693">
              <w:rPr>
                <w:rFonts w:ascii="Arial" w:hAnsi="Arial" w:cs="Arial"/>
                <w:sz w:val="20"/>
              </w:rPr>
              <w:t xml:space="preserve">Cholesterol toàn phần </w:t>
            </w:r>
          </w:p>
          <w:p w14:paraId="2D54D930" w14:textId="77777777" w:rsidR="00160822"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Giảm 0,21 mmol/L LDL </w:t>
            </w:r>
          </w:p>
          <w:p w14:paraId="2B1CD50A" w14:textId="77777777" w:rsidR="00160822"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Giảm 0,02 mmol/L HDL </w:t>
            </w:r>
          </w:p>
          <w:p w14:paraId="0C25A8DE"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0,00 mmol/L TG</w:t>
            </w:r>
          </w:p>
        </w:tc>
        <w:tc>
          <w:tcPr>
            <w:tcW w:w="1570" w:type="pct"/>
            <w:tcBorders>
              <w:top w:val="single" w:sz="4" w:space="0" w:color="000000"/>
              <w:left w:val="single" w:sz="4" w:space="0" w:color="000000"/>
              <w:bottom w:val="single" w:sz="4" w:space="0" w:color="000000"/>
              <w:right w:val="single" w:sz="4" w:space="0" w:color="000000"/>
            </w:tcBorders>
          </w:tcPr>
          <w:p w14:paraId="1BCC0406" w14:textId="77777777" w:rsidR="00160822"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2,3% Cholesterol</w:t>
            </w:r>
            <w:r w:rsidR="00160822" w:rsidRPr="00FE7693">
              <w:rPr>
                <w:rFonts w:ascii="Arial" w:hAnsi="Arial" w:cs="Arial"/>
                <w:sz w:val="20"/>
              </w:rPr>
              <w:t xml:space="preserve"> </w:t>
            </w:r>
            <w:r w:rsidRPr="00FE7693">
              <w:rPr>
                <w:rFonts w:ascii="Arial" w:hAnsi="Arial" w:cs="Arial"/>
                <w:sz w:val="20"/>
              </w:rPr>
              <w:t>toàn phần</w:t>
            </w:r>
            <w:r w:rsidR="00160822" w:rsidRPr="00FE7693">
              <w:rPr>
                <w:rFonts w:ascii="Arial" w:hAnsi="Arial" w:cs="Arial"/>
                <w:sz w:val="20"/>
              </w:rPr>
              <w:t xml:space="preserve"> </w:t>
            </w:r>
          </w:p>
          <w:p w14:paraId="7CC31692" w14:textId="77777777" w:rsidR="00160822"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2,4% LDL</w:t>
            </w:r>
            <w:r w:rsidR="00160822" w:rsidRPr="00FE7693">
              <w:rPr>
                <w:rFonts w:ascii="Arial" w:hAnsi="Arial" w:cs="Arial"/>
                <w:sz w:val="20"/>
              </w:rPr>
              <w:t xml:space="preserve"> </w:t>
            </w:r>
            <w:r w:rsidRPr="00FE7693">
              <w:rPr>
                <w:rFonts w:ascii="Arial" w:hAnsi="Arial" w:cs="Arial"/>
                <w:sz w:val="20"/>
              </w:rPr>
              <w:t>Tăng1,9% HDL</w:t>
            </w:r>
            <w:r w:rsidR="00160822" w:rsidRPr="00FE7693">
              <w:rPr>
                <w:rFonts w:ascii="Arial" w:hAnsi="Arial" w:cs="Arial"/>
                <w:sz w:val="20"/>
              </w:rPr>
              <w:t xml:space="preserve"> </w:t>
            </w:r>
          </w:p>
          <w:p w14:paraId="6345C850" w14:textId="77777777" w:rsidR="00160822"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Giảm 3,9% non-HDL </w:t>
            </w:r>
          </w:p>
          <w:p w14:paraId="072286D9"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9,3% TG</w:t>
            </w:r>
          </w:p>
        </w:tc>
      </w:tr>
      <w:tr w:rsidR="00F02947" w:rsidRPr="00FE7693" w14:paraId="2FD6C8F2"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421B93A8"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trên nhịp tim tại</w:t>
            </w:r>
            <w:r w:rsidR="00160822" w:rsidRPr="00FE7693">
              <w:rPr>
                <w:rFonts w:ascii="Arial" w:hAnsi="Arial" w:cs="Arial"/>
                <w:sz w:val="20"/>
              </w:rPr>
              <w:t xml:space="preserve"> </w:t>
            </w:r>
            <w:r w:rsidRPr="00FE7693">
              <w:rPr>
                <w:rFonts w:ascii="Arial" w:hAnsi="Arial" w:cs="Arial"/>
                <w:sz w:val="20"/>
              </w:rPr>
              <w:t>thời điểm 1 năm, trừ giả dược</w:t>
            </w:r>
          </w:p>
        </w:tc>
        <w:tc>
          <w:tcPr>
            <w:tcW w:w="1618" w:type="pct"/>
            <w:tcBorders>
              <w:top w:val="single" w:sz="4" w:space="0" w:color="000000"/>
              <w:left w:val="single" w:sz="4" w:space="0" w:color="000000"/>
              <w:bottom w:val="single" w:sz="4" w:space="0" w:color="000000"/>
              <w:right w:val="single" w:sz="4" w:space="0" w:color="000000"/>
            </w:tcBorders>
          </w:tcPr>
          <w:p w14:paraId="36FC639B"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Không thay đổi</w:t>
            </w:r>
          </w:p>
        </w:tc>
        <w:tc>
          <w:tcPr>
            <w:tcW w:w="1570" w:type="pct"/>
            <w:tcBorders>
              <w:top w:val="single" w:sz="4" w:space="0" w:color="000000"/>
              <w:left w:val="single" w:sz="4" w:space="0" w:color="000000"/>
              <w:bottom w:val="single" w:sz="4" w:space="0" w:color="000000"/>
              <w:right w:val="single" w:sz="4" w:space="0" w:color="000000"/>
            </w:tcBorders>
          </w:tcPr>
          <w:p w14:paraId="0B860768"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Tăng 2,4 nhịp/phút</w:t>
            </w:r>
          </w:p>
        </w:tc>
      </w:tr>
      <w:tr w:rsidR="00F02947" w:rsidRPr="00FE7693" w14:paraId="0E7F1DDE"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5DE7AD2D"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trên HbA1C ở bệnh</w:t>
            </w:r>
            <w:r w:rsidR="00160822" w:rsidRPr="00FE7693">
              <w:rPr>
                <w:rFonts w:ascii="Arial" w:hAnsi="Arial" w:cs="Arial"/>
                <w:sz w:val="20"/>
              </w:rPr>
              <w:t xml:space="preserve"> </w:t>
            </w:r>
            <w:r w:rsidRPr="00FE7693">
              <w:rPr>
                <w:rFonts w:ascii="Arial" w:hAnsi="Arial" w:cs="Arial"/>
                <w:sz w:val="20"/>
              </w:rPr>
              <w:t>nhân đái tháo đường tại thời</w:t>
            </w:r>
            <w:r w:rsidR="00160822" w:rsidRPr="00FE7693">
              <w:rPr>
                <w:rFonts w:ascii="Arial" w:hAnsi="Arial" w:cs="Arial"/>
                <w:sz w:val="20"/>
              </w:rPr>
              <w:t xml:space="preserve"> </w:t>
            </w:r>
            <w:r w:rsidRPr="00FE7693">
              <w:rPr>
                <w:rFonts w:ascii="Arial" w:hAnsi="Arial" w:cs="Arial"/>
                <w:sz w:val="20"/>
              </w:rPr>
              <w:t>điểm 1 năm, trừ giả dược</w:t>
            </w:r>
          </w:p>
        </w:tc>
        <w:tc>
          <w:tcPr>
            <w:tcW w:w="1618" w:type="pct"/>
            <w:tcBorders>
              <w:top w:val="single" w:sz="4" w:space="0" w:color="000000"/>
              <w:left w:val="single" w:sz="4" w:space="0" w:color="000000"/>
              <w:bottom w:val="single" w:sz="4" w:space="0" w:color="000000"/>
              <w:right w:val="single" w:sz="4" w:space="0" w:color="000000"/>
            </w:tcBorders>
          </w:tcPr>
          <w:p w14:paraId="1BEB793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0,4%</w:t>
            </w:r>
          </w:p>
        </w:tc>
        <w:tc>
          <w:tcPr>
            <w:tcW w:w="1570" w:type="pct"/>
            <w:tcBorders>
              <w:top w:val="single" w:sz="4" w:space="0" w:color="000000"/>
              <w:left w:val="single" w:sz="4" w:space="0" w:color="000000"/>
              <w:bottom w:val="single" w:sz="4" w:space="0" w:color="000000"/>
              <w:right w:val="single" w:sz="4" w:space="0" w:color="000000"/>
            </w:tcBorders>
          </w:tcPr>
          <w:p w14:paraId="3395A24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1,0%</w:t>
            </w:r>
          </w:p>
        </w:tc>
      </w:tr>
      <w:tr w:rsidR="00F02947" w:rsidRPr="00FE7693" w14:paraId="31646676"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3DA9773C"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trên viêm gan</w:t>
            </w:r>
            <w:r w:rsidR="00160822" w:rsidRPr="00FE7693">
              <w:rPr>
                <w:rFonts w:ascii="Arial" w:hAnsi="Arial" w:cs="Arial"/>
                <w:sz w:val="20"/>
              </w:rPr>
              <w:t xml:space="preserve"> </w:t>
            </w:r>
            <w:r w:rsidRPr="00FE7693">
              <w:rPr>
                <w:rFonts w:ascii="Arial" w:hAnsi="Arial" w:cs="Arial"/>
                <w:sz w:val="20"/>
              </w:rPr>
              <w:t>nhiễm mỡ không do rượu (Nonalcoholic steatohepatitis- NASH)</w:t>
            </w:r>
          </w:p>
        </w:tc>
        <w:tc>
          <w:tcPr>
            <w:tcW w:w="1618" w:type="pct"/>
            <w:tcBorders>
              <w:top w:val="single" w:sz="4" w:space="0" w:color="000000"/>
              <w:left w:val="single" w:sz="4" w:space="0" w:color="000000"/>
              <w:bottom w:val="single" w:sz="4" w:space="0" w:color="000000"/>
              <w:right w:val="single" w:sz="4" w:space="0" w:color="000000"/>
            </w:tcBorders>
          </w:tcPr>
          <w:p w14:paraId="29500B5F"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Không cải thiện</w:t>
            </w:r>
          </w:p>
        </w:tc>
        <w:tc>
          <w:tcPr>
            <w:tcW w:w="1570" w:type="pct"/>
            <w:tcBorders>
              <w:top w:val="single" w:sz="4" w:space="0" w:color="000000"/>
              <w:left w:val="single" w:sz="4" w:space="0" w:color="000000"/>
              <w:bottom w:val="single" w:sz="4" w:space="0" w:color="000000"/>
              <w:right w:val="single" w:sz="4" w:space="0" w:color="000000"/>
            </w:tcBorders>
          </w:tcPr>
          <w:p w14:paraId="7ED0F56E"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Cải thiện</w:t>
            </w:r>
          </w:p>
        </w:tc>
      </w:tr>
      <w:tr w:rsidR="00F02947" w:rsidRPr="00FE7693" w14:paraId="33A13B00"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73BB8D1D"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trên buồng trứng đa</w:t>
            </w:r>
            <w:r w:rsidR="00160822" w:rsidRPr="00FE7693">
              <w:rPr>
                <w:rFonts w:ascii="Arial" w:hAnsi="Arial" w:cs="Arial"/>
                <w:sz w:val="20"/>
              </w:rPr>
              <w:t xml:space="preserve"> </w:t>
            </w:r>
            <w:r w:rsidRPr="00FE7693">
              <w:rPr>
                <w:rFonts w:ascii="Arial" w:hAnsi="Arial" w:cs="Arial"/>
                <w:sz w:val="20"/>
              </w:rPr>
              <w:t>nang (Polycystic Ovary</w:t>
            </w:r>
            <w:r w:rsidR="00160822" w:rsidRPr="00FE7693">
              <w:rPr>
                <w:rFonts w:ascii="Arial" w:hAnsi="Arial" w:cs="Arial"/>
                <w:sz w:val="20"/>
              </w:rPr>
              <w:t xml:space="preserve"> </w:t>
            </w:r>
            <w:r w:rsidRPr="00FE7693">
              <w:rPr>
                <w:rFonts w:ascii="Arial" w:hAnsi="Arial" w:cs="Arial"/>
                <w:sz w:val="20"/>
              </w:rPr>
              <w:t xml:space="preserve">Syndrome </w:t>
            </w:r>
            <w:r w:rsidR="001F364C" w:rsidRPr="00FE7693">
              <w:rPr>
                <w:rFonts w:ascii="Arial" w:hAnsi="Arial" w:cs="Arial"/>
                <w:sz w:val="20"/>
              </w:rPr>
              <w:t>-</w:t>
            </w:r>
            <w:r w:rsidRPr="00FE7693">
              <w:rPr>
                <w:rFonts w:ascii="Arial" w:hAnsi="Arial" w:cs="Arial"/>
                <w:sz w:val="20"/>
              </w:rPr>
              <w:t xml:space="preserve"> PCOS)</w:t>
            </w:r>
          </w:p>
        </w:tc>
        <w:tc>
          <w:tcPr>
            <w:tcW w:w="1618" w:type="pct"/>
            <w:tcBorders>
              <w:top w:val="single" w:sz="4" w:space="0" w:color="000000"/>
              <w:left w:val="single" w:sz="4" w:space="0" w:color="000000"/>
              <w:bottom w:val="single" w:sz="4" w:space="0" w:color="000000"/>
              <w:right w:val="single" w:sz="4" w:space="0" w:color="000000"/>
            </w:tcBorders>
          </w:tcPr>
          <w:p w14:paraId="7D217FFA"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Chưa nghiên cứu</w:t>
            </w:r>
          </w:p>
        </w:tc>
        <w:tc>
          <w:tcPr>
            <w:tcW w:w="1570" w:type="pct"/>
            <w:tcBorders>
              <w:top w:val="single" w:sz="4" w:space="0" w:color="000000"/>
              <w:left w:val="single" w:sz="4" w:space="0" w:color="000000"/>
              <w:bottom w:val="single" w:sz="4" w:space="0" w:color="000000"/>
              <w:right w:val="single" w:sz="4" w:space="0" w:color="000000"/>
            </w:tcBorders>
          </w:tcPr>
          <w:p w14:paraId="09379023"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5,2kg cân nặng trừ</w:t>
            </w:r>
            <w:r w:rsidR="00160822" w:rsidRPr="00FE7693">
              <w:rPr>
                <w:rFonts w:ascii="Arial" w:hAnsi="Arial" w:cs="Arial"/>
                <w:sz w:val="20"/>
              </w:rPr>
              <w:t xml:space="preserve"> </w:t>
            </w:r>
            <w:r w:rsidRPr="00FE7693">
              <w:rPr>
                <w:rFonts w:ascii="Arial" w:hAnsi="Arial" w:cs="Arial"/>
                <w:sz w:val="20"/>
              </w:rPr>
              <w:t>giả dược lúc 6 tháng; không có dữ liệu trên chu kì kinh nguyệt</w:t>
            </w:r>
          </w:p>
        </w:tc>
      </w:tr>
      <w:tr w:rsidR="00F02947" w:rsidRPr="00FE7693" w14:paraId="22EC4C48"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4B612FE3"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Tác động trên thoái </w:t>
            </w:r>
            <w:r w:rsidR="00CA55A7">
              <w:rPr>
                <w:rFonts w:ascii="Arial" w:hAnsi="Arial" w:cs="Arial"/>
                <w:sz w:val="20"/>
              </w:rPr>
              <w:t>hóa</w:t>
            </w:r>
            <w:r w:rsidRPr="00FE7693">
              <w:rPr>
                <w:rFonts w:ascii="Arial" w:hAnsi="Arial" w:cs="Arial"/>
                <w:sz w:val="20"/>
              </w:rPr>
              <w:t xml:space="preserve"> khớp</w:t>
            </w:r>
            <w:r w:rsidR="00160822" w:rsidRPr="00FE7693">
              <w:rPr>
                <w:rFonts w:ascii="Arial" w:hAnsi="Arial" w:cs="Arial"/>
                <w:sz w:val="20"/>
              </w:rPr>
              <w:t xml:space="preserve"> </w:t>
            </w:r>
            <w:r w:rsidRPr="00FE7693">
              <w:rPr>
                <w:rFonts w:ascii="Arial" w:hAnsi="Arial" w:cs="Arial"/>
                <w:sz w:val="20"/>
              </w:rPr>
              <w:t>(Osteoarthritis- OA)</w:t>
            </w:r>
          </w:p>
        </w:tc>
        <w:tc>
          <w:tcPr>
            <w:tcW w:w="1618" w:type="pct"/>
            <w:tcBorders>
              <w:top w:val="single" w:sz="4" w:space="0" w:color="000000"/>
              <w:left w:val="single" w:sz="4" w:space="0" w:color="000000"/>
              <w:bottom w:val="single" w:sz="4" w:space="0" w:color="000000"/>
              <w:right w:val="single" w:sz="4" w:space="0" w:color="000000"/>
            </w:tcBorders>
          </w:tcPr>
          <w:p w14:paraId="6A76FCD7"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Chưa nghiên cứu</w:t>
            </w:r>
          </w:p>
        </w:tc>
        <w:tc>
          <w:tcPr>
            <w:tcW w:w="1570" w:type="pct"/>
            <w:tcBorders>
              <w:top w:val="single" w:sz="4" w:space="0" w:color="000000"/>
              <w:left w:val="single" w:sz="4" w:space="0" w:color="000000"/>
              <w:bottom w:val="single" w:sz="4" w:space="0" w:color="000000"/>
              <w:right w:val="single" w:sz="4" w:space="0" w:color="000000"/>
            </w:tcBorders>
          </w:tcPr>
          <w:p w14:paraId="71CEBB17"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Chưa nghiên cứu</w:t>
            </w:r>
          </w:p>
        </w:tc>
      </w:tr>
      <w:tr w:rsidR="00F02947" w:rsidRPr="00FE7693" w14:paraId="48CDE0DA"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5E37216C"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động trên ngưng thở khi</w:t>
            </w:r>
            <w:r w:rsidR="00160822" w:rsidRPr="00FE7693">
              <w:rPr>
                <w:rFonts w:ascii="Arial" w:hAnsi="Arial" w:cs="Arial"/>
                <w:sz w:val="20"/>
              </w:rPr>
              <w:t xml:space="preserve"> </w:t>
            </w:r>
            <w:r w:rsidRPr="00FE7693">
              <w:rPr>
                <w:rFonts w:ascii="Arial" w:hAnsi="Arial" w:cs="Arial"/>
                <w:sz w:val="20"/>
              </w:rPr>
              <w:t>ngủ (Obstructive Sleep</w:t>
            </w:r>
            <w:r w:rsidR="00160822" w:rsidRPr="00FE7693">
              <w:rPr>
                <w:rFonts w:ascii="Arial" w:hAnsi="Arial" w:cs="Arial"/>
                <w:sz w:val="20"/>
              </w:rPr>
              <w:t xml:space="preserve"> </w:t>
            </w:r>
            <w:r w:rsidRPr="00FE7693">
              <w:rPr>
                <w:rFonts w:ascii="Arial" w:hAnsi="Arial" w:cs="Arial"/>
                <w:sz w:val="20"/>
              </w:rPr>
              <w:t xml:space="preserve">Apnea </w:t>
            </w:r>
            <w:r w:rsidR="001F364C" w:rsidRPr="00FE7693">
              <w:rPr>
                <w:rFonts w:ascii="Arial" w:hAnsi="Arial" w:cs="Arial"/>
                <w:sz w:val="20"/>
              </w:rPr>
              <w:t>-</w:t>
            </w:r>
            <w:r w:rsidRPr="00FE7693">
              <w:rPr>
                <w:rFonts w:ascii="Arial" w:hAnsi="Arial" w:cs="Arial"/>
                <w:sz w:val="20"/>
              </w:rPr>
              <w:t xml:space="preserve"> OSA)</w:t>
            </w:r>
          </w:p>
        </w:tc>
        <w:tc>
          <w:tcPr>
            <w:tcW w:w="1618" w:type="pct"/>
            <w:tcBorders>
              <w:top w:val="single" w:sz="4" w:space="0" w:color="000000"/>
              <w:left w:val="single" w:sz="4" w:space="0" w:color="000000"/>
              <w:bottom w:val="single" w:sz="4" w:space="0" w:color="000000"/>
              <w:right w:val="single" w:sz="4" w:space="0" w:color="000000"/>
            </w:tcBorders>
          </w:tcPr>
          <w:p w14:paraId="040A2014"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Chưa nghiên cứu</w:t>
            </w:r>
          </w:p>
        </w:tc>
        <w:tc>
          <w:tcPr>
            <w:tcW w:w="1570" w:type="pct"/>
            <w:tcBorders>
              <w:top w:val="single" w:sz="4" w:space="0" w:color="000000"/>
              <w:left w:val="single" w:sz="4" w:space="0" w:color="000000"/>
              <w:bottom w:val="single" w:sz="4" w:space="0" w:color="000000"/>
              <w:right w:val="single" w:sz="4" w:space="0" w:color="000000"/>
            </w:tcBorders>
          </w:tcPr>
          <w:p w14:paraId="137D4BB3"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Giảm Chỉ số ngưng thở-</w:t>
            </w:r>
            <w:r w:rsidR="00160822" w:rsidRPr="00FE7693">
              <w:rPr>
                <w:rFonts w:ascii="Arial" w:hAnsi="Arial" w:cs="Arial"/>
                <w:sz w:val="20"/>
              </w:rPr>
              <w:t xml:space="preserve"> </w:t>
            </w:r>
            <w:r w:rsidRPr="00FE7693">
              <w:rPr>
                <w:rFonts w:ascii="Arial" w:hAnsi="Arial" w:cs="Arial"/>
                <w:sz w:val="20"/>
              </w:rPr>
              <w:t>giảm thở (Apnea- Hypopnea Index -AHI) đến 6/giờ</w:t>
            </w:r>
          </w:p>
        </w:tc>
      </w:tr>
      <w:tr w:rsidR="00F02947" w:rsidRPr="00FE7693" w14:paraId="5E89E630"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1D37E85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Chống chỉ định</w:t>
            </w:r>
          </w:p>
        </w:tc>
        <w:tc>
          <w:tcPr>
            <w:tcW w:w="1618" w:type="pct"/>
            <w:tcBorders>
              <w:top w:val="single" w:sz="4" w:space="0" w:color="000000"/>
              <w:left w:val="single" w:sz="4" w:space="0" w:color="000000"/>
              <w:bottom w:val="single" w:sz="4" w:space="0" w:color="000000"/>
              <w:right w:val="single" w:sz="4" w:space="0" w:color="000000"/>
            </w:tcBorders>
          </w:tcPr>
          <w:p w14:paraId="04D8D641"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Tắc mật</w:t>
            </w:r>
            <w:r w:rsidR="00160822" w:rsidRPr="00FE7693">
              <w:rPr>
                <w:rFonts w:ascii="Arial" w:hAnsi="Arial" w:cs="Arial"/>
                <w:sz w:val="20"/>
              </w:rPr>
              <w:t xml:space="preserve"> </w:t>
            </w:r>
          </w:p>
          <w:p w14:paraId="0DA03922"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 xml:space="preserve">Hội chứng rối loạn hấp thu mạn tính </w:t>
            </w:r>
          </w:p>
          <w:p w14:paraId="56BC85B2" w14:textId="77777777" w:rsidR="00F02947"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Có thai</w:t>
            </w:r>
          </w:p>
        </w:tc>
        <w:tc>
          <w:tcPr>
            <w:tcW w:w="1570" w:type="pct"/>
            <w:tcBorders>
              <w:top w:val="single" w:sz="4" w:space="0" w:color="000000"/>
              <w:left w:val="single" w:sz="4" w:space="0" w:color="000000"/>
              <w:bottom w:val="single" w:sz="4" w:space="0" w:color="000000"/>
              <w:right w:val="single" w:sz="4" w:space="0" w:color="000000"/>
            </w:tcBorders>
          </w:tcPr>
          <w:p w14:paraId="1961EE49"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 xml:space="preserve">Tiền sử viêm tụy </w:t>
            </w:r>
          </w:p>
          <w:p w14:paraId="5CFF1A38"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 xml:space="preserve">Tiền sử bản thân hay gia đình mắc ung thư tuyến giáp thể tủy, </w:t>
            </w:r>
          </w:p>
          <w:p w14:paraId="419DBCEC"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Tiền sử bản thân mắc hội chứng MEN2</w:t>
            </w:r>
            <w:r w:rsidR="00160822" w:rsidRPr="00FE7693">
              <w:rPr>
                <w:rFonts w:ascii="Arial" w:hAnsi="Arial" w:cs="Arial"/>
                <w:sz w:val="20"/>
              </w:rPr>
              <w:t xml:space="preserve"> </w:t>
            </w:r>
          </w:p>
          <w:p w14:paraId="5B6576C2" w14:textId="77777777" w:rsidR="00F02947"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Có thai</w:t>
            </w:r>
          </w:p>
        </w:tc>
      </w:tr>
      <w:tr w:rsidR="00F02947" w:rsidRPr="00FE7693" w14:paraId="6B94E6F6"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6B50A6FC"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dụng phụ thường gặp</w:t>
            </w:r>
          </w:p>
        </w:tc>
        <w:tc>
          <w:tcPr>
            <w:tcW w:w="1618" w:type="pct"/>
            <w:tcBorders>
              <w:top w:val="single" w:sz="4" w:space="0" w:color="000000"/>
              <w:left w:val="single" w:sz="4" w:space="0" w:color="000000"/>
              <w:bottom w:val="single" w:sz="4" w:space="0" w:color="000000"/>
              <w:right w:val="single" w:sz="4" w:space="0" w:color="000000"/>
            </w:tcBorders>
          </w:tcPr>
          <w:p w14:paraId="102312CD"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Tiêu phân lỏng, mỡ, trung</w:t>
            </w:r>
            <w:r w:rsidR="00160822" w:rsidRPr="00FE7693">
              <w:rPr>
                <w:rFonts w:ascii="Arial" w:hAnsi="Arial" w:cs="Arial"/>
                <w:sz w:val="20"/>
              </w:rPr>
              <w:t xml:space="preserve"> </w:t>
            </w:r>
            <w:r w:rsidRPr="00FE7693">
              <w:rPr>
                <w:rFonts w:ascii="Arial" w:hAnsi="Arial" w:cs="Arial"/>
                <w:sz w:val="20"/>
              </w:rPr>
              <w:t>tiện nhiều</w:t>
            </w:r>
          </w:p>
        </w:tc>
        <w:tc>
          <w:tcPr>
            <w:tcW w:w="1570" w:type="pct"/>
            <w:tcBorders>
              <w:top w:val="single" w:sz="4" w:space="0" w:color="000000"/>
              <w:left w:val="single" w:sz="4" w:space="0" w:color="000000"/>
              <w:bottom w:val="single" w:sz="4" w:space="0" w:color="000000"/>
              <w:right w:val="single" w:sz="4" w:space="0" w:color="000000"/>
            </w:tcBorders>
          </w:tcPr>
          <w:p w14:paraId="2C9502B0"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Buồn nôn, táo bón, tiêu</w:t>
            </w:r>
            <w:r w:rsidR="00160822" w:rsidRPr="00FE7693">
              <w:rPr>
                <w:rFonts w:ascii="Arial" w:hAnsi="Arial" w:cs="Arial"/>
                <w:sz w:val="20"/>
              </w:rPr>
              <w:t xml:space="preserve"> </w:t>
            </w:r>
            <w:r w:rsidRPr="00FE7693">
              <w:rPr>
                <w:rFonts w:ascii="Arial" w:hAnsi="Arial" w:cs="Arial"/>
                <w:sz w:val="20"/>
              </w:rPr>
              <w:t>chảy, nôn</w:t>
            </w:r>
          </w:p>
        </w:tc>
      </w:tr>
      <w:tr w:rsidR="00F02947" w:rsidRPr="00FE7693" w14:paraId="3D9803A3"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4A6D6114"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Tác dụng phụ hiếm gặp</w:t>
            </w:r>
          </w:p>
        </w:tc>
        <w:tc>
          <w:tcPr>
            <w:tcW w:w="1618" w:type="pct"/>
            <w:tcBorders>
              <w:top w:val="single" w:sz="4" w:space="0" w:color="000000"/>
              <w:left w:val="single" w:sz="4" w:space="0" w:color="000000"/>
              <w:bottom w:val="single" w:sz="4" w:space="0" w:color="000000"/>
              <w:right w:val="single" w:sz="4" w:space="0" w:color="000000"/>
            </w:tcBorders>
          </w:tcPr>
          <w:p w14:paraId="613223E4"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Suy gan</w:t>
            </w:r>
            <w:r w:rsidR="00160822" w:rsidRPr="00FE7693">
              <w:rPr>
                <w:rFonts w:ascii="Arial" w:hAnsi="Arial" w:cs="Arial"/>
                <w:sz w:val="20"/>
              </w:rPr>
              <w:t xml:space="preserve"> </w:t>
            </w:r>
          </w:p>
          <w:p w14:paraId="5B97C3AF"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Sỏi thận</w:t>
            </w:r>
            <w:r w:rsidR="00160822" w:rsidRPr="00FE7693">
              <w:rPr>
                <w:rFonts w:ascii="Arial" w:hAnsi="Arial" w:cs="Arial"/>
                <w:sz w:val="20"/>
              </w:rPr>
              <w:t xml:space="preserve"> </w:t>
            </w:r>
          </w:p>
          <w:p w14:paraId="683AF2F4" w14:textId="77777777" w:rsidR="00F02947"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Tổn thương thận cấp</w:t>
            </w:r>
          </w:p>
        </w:tc>
        <w:tc>
          <w:tcPr>
            <w:tcW w:w="1570" w:type="pct"/>
            <w:tcBorders>
              <w:top w:val="single" w:sz="4" w:space="0" w:color="000000"/>
              <w:left w:val="single" w:sz="4" w:space="0" w:color="000000"/>
              <w:bottom w:val="single" w:sz="4" w:space="0" w:color="000000"/>
              <w:right w:val="single" w:sz="4" w:space="0" w:color="000000"/>
            </w:tcBorders>
          </w:tcPr>
          <w:p w14:paraId="38876770"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Viêm tụy do sỏi đường</w:t>
            </w:r>
            <w:r w:rsidR="00160822" w:rsidRPr="00FE7693">
              <w:rPr>
                <w:rFonts w:ascii="Arial" w:hAnsi="Arial" w:cs="Arial"/>
                <w:sz w:val="20"/>
              </w:rPr>
              <w:t xml:space="preserve"> </w:t>
            </w:r>
            <w:r w:rsidRPr="00FE7693">
              <w:rPr>
                <w:rFonts w:ascii="Arial" w:hAnsi="Arial" w:cs="Arial"/>
                <w:sz w:val="20"/>
              </w:rPr>
              <w:t>mật</w:t>
            </w:r>
          </w:p>
        </w:tc>
      </w:tr>
      <w:tr w:rsidR="00F02947" w:rsidRPr="00FE7693" w14:paraId="0200C8A2" w14:textId="77777777">
        <w:tblPrEx>
          <w:tblCellMar>
            <w:top w:w="0" w:type="dxa"/>
            <w:left w:w="0" w:type="dxa"/>
            <w:bottom w:w="0" w:type="dxa"/>
            <w:right w:w="0" w:type="dxa"/>
          </w:tblCellMar>
        </w:tblPrEx>
        <w:tc>
          <w:tcPr>
            <w:tcW w:w="1812" w:type="pct"/>
            <w:tcBorders>
              <w:top w:val="single" w:sz="4" w:space="0" w:color="000000"/>
              <w:left w:val="single" w:sz="4" w:space="0" w:color="000000"/>
              <w:bottom w:val="single" w:sz="4" w:space="0" w:color="000000"/>
              <w:right w:val="single" w:sz="4" w:space="0" w:color="000000"/>
            </w:tcBorders>
          </w:tcPr>
          <w:p w14:paraId="0BD056CA"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Tương tác thuốc</w:t>
            </w:r>
          </w:p>
        </w:tc>
        <w:tc>
          <w:tcPr>
            <w:tcW w:w="1618" w:type="pct"/>
            <w:tcBorders>
              <w:top w:val="single" w:sz="4" w:space="0" w:color="000000"/>
              <w:left w:val="single" w:sz="4" w:space="0" w:color="000000"/>
              <w:bottom w:val="single" w:sz="4" w:space="0" w:color="000000"/>
              <w:right w:val="single" w:sz="4" w:space="0" w:color="000000"/>
            </w:tcBorders>
          </w:tcPr>
          <w:p w14:paraId="529E3D4D"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 xml:space="preserve">Vitamin tan trong mỡ </w:t>
            </w:r>
          </w:p>
          <w:p w14:paraId="1BA29C79"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 xml:space="preserve">Levothyroxine </w:t>
            </w:r>
          </w:p>
          <w:p w14:paraId="48599E34" w14:textId="77777777" w:rsidR="00A8222B"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Cyclosporine</w:t>
            </w:r>
            <w:r w:rsidR="00160822" w:rsidRPr="00FE7693">
              <w:rPr>
                <w:rFonts w:ascii="Arial" w:hAnsi="Arial" w:cs="Arial"/>
                <w:sz w:val="20"/>
              </w:rPr>
              <w:t xml:space="preserve"> </w:t>
            </w:r>
          </w:p>
          <w:p w14:paraId="31171F56" w14:textId="77777777" w:rsidR="00F02947" w:rsidRPr="00FE7693" w:rsidRDefault="00A8222B" w:rsidP="00FE7693">
            <w:pPr>
              <w:widowControl w:val="0"/>
              <w:autoSpaceDE w:val="0"/>
              <w:autoSpaceDN w:val="0"/>
              <w:adjustRightInd w:val="0"/>
              <w:spacing w:before="120"/>
              <w:rPr>
                <w:rFonts w:ascii="Arial" w:hAnsi="Arial" w:cs="Arial"/>
                <w:sz w:val="20"/>
              </w:rPr>
            </w:pPr>
            <w:r w:rsidRPr="00FE7693">
              <w:rPr>
                <w:rFonts w:ascii="Arial" w:hAnsi="Arial" w:cs="Arial"/>
                <w:sz w:val="20"/>
              </w:rPr>
              <w:t xml:space="preserve">- </w:t>
            </w:r>
            <w:r w:rsidR="00F02947" w:rsidRPr="00FE7693">
              <w:rPr>
                <w:rFonts w:ascii="Arial" w:hAnsi="Arial" w:cs="Arial"/>
                <w:sz w:val="20"/>
              </w:rPr>
              <w:t>Kháng đông uống, chống co giật</w:t>
            </w:r>
          </w:p>
        </w:tc>
        <w:tc>
          <w:tcPr>
            <w:tcW w:w="1570" w:type="pct"/>
            <w:tcBorders>
              <w:top w:val="single" w:sz="4" w:space="0" w:color="000000"/>
              <w:left w:val="single" w:sz="4" w:space="0" w:color="000000"/>
              <w:bottom w:val="single" w:sz="4" w:space="0" w:color="000000"/>
              <w:right w:val="single" w:sz="4" w:space="0" w:color="000000"/>
            </w:tcBorders>
          </w:tcPr>
          <w:p w14:paraId="5F19F60A"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Có thể ảnh hưởng đến sự</w:t>
            </w:r>
            <w:r w:rsidR="00160822" w:rsidRPr="00FE7693">
              <w:rPr>
                <w:rFonts w:ascii="Arial" w:hAnsi="Arial" w:cs="Arial"/>
                <w:sz w:val="20"/>
              </w:rPr>
              <w:t xml:space="preserve"> </w:t>
            </w:r>
            <w:r w:rsidRPr="00FE7693">
              <w:rPr>
                <w:rFonts w:ascii="Arial" w:hAnsi="Arial" w:cs="Arial"/>
                <w:sz w:val="20"/>
              </w:rPr>
              <w:t>hấp thu thuốc do chậm làm trống dạ dày</w:t>
            </w:r>
          </w:p>
        </w:tc>
      </w:tr>
    </w:tbl>
    <w:p w14:paraId="731DB103" w14:textId="77777777" w:rsidR="0028508D" w:rsidRDefault="0028508D" w:rsidP="00FE7693">
      <w:pPr>
        <w:widowControl w:val="0"/>
        <w:autoSpaceDE w:val="0"/>
        <w:autoSpaceDN w:val="0"/>
        <w:adjustRightInd w:val="0"/>
        <w:spacing w:before="120"/>
        <w:jc w:val="center"/>
        <w:rPr>
          <w:rFonts w:ascii="Arial" w:hAnsi="Arial" w:cs="Arial"/>
          <w:b/>
          <w:sz w:val="20"/>
        </w:rPr>
      </w:pPr>
    </w:p>
    <w:p w14:paraId="551CA8D7" w14:textId="77777777" w:rsidR="00A8222B" w:rsidRPr="00FE7693" w:rsidRDefault="00A8222B" w:rsidP="00FE7693">
      <w:pPr>
        <w:widowControl w:val="0"/>
        <w:autoSpaceDE w:val="0"/>
        <w:autoSpaceDN w:val="0"/>
        <w:adjustRightInd w:val="0"/>
        <w:spacing w:before="120"/>
        <w:jc w:val="center"/>
        <w:rPr>
          <w:rFonts w:ascii="Arial" w:hAnsi="Arial" w:cs="Arial"/>
          <w:b/>
          <w:sz w:val="20"/>
        </w:rPr>
      </w:pPr>
      <w:r w:rsidRPr="00FE7693">
        <w:rPr>
          <w:rFonts w:ascii="Arial" w:hAnsi="Arial" w:cs="Arial"/>
          <w:b/>
          <w:sz w:val="20"/>
        </w:rPr>
        <w:t>TÀI LIỆU THAM KHẢO</w:t>
      </w:r>
    </w:p>
    <w:p w14:paraId="47862E7A" w14:textId="77777777" w:rsidR="00F02947" w:rsidRPr="00FE7693" w:rsidRDefault="00F02947" w:rsidP="00FE7693">
      <w:pPr>
        <w:widowControl w:val="0"/>
        <w:autoSpaceDE w:val="0"/>
        <w:autoSpaceDN w:val="0"/>
        <w:adjustRightInd w:val="0"/>
        <w:spacing w:before="120"/>
        <w:rPr>
          <w:rFonts w:ascii="Arial" w:hAnsi="Arial" w:cs="Arial"/>
          <w:b/>
          <w:sz w:val="20"/>
        </w:rPr>
      </w:pPr>
      <w:r w:rsidRPr="00FE7693">
        <w:rPr>
          <w:rFonts w:ascii="Arial" w:hAnsi="Arial" w:cs="Arial"/>
          <w:b/>
          <w:sz w:val="20"/>
        </w:rPr>
        <w:t>Tiếng Việt</w:t>
      </w:r>
    </w:p>
    <w:p w14:paraId="01B1C728"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w:t>
      </w:r>
      <w:r w:rsidR="001F364C" w:rsidRPr="00FE7693">
        <w:rPr>
          <w:rFonts w:ascii="Arial" w:hAnsi="Arial" w:cs="Arial"/>
          <w:sz w:val="20"/>
        </w:rPr>
        <w:t xml:space="preserve"> </w:t>
      </w:r>
      <w:r w:rsidRPr="00FE7693">
        <w:rPr>
          <w:rFonts w:ascii="Arial" w:hAnsi="Arial" w:cs="Arial"/>
          <w:sz w:val="20"/>
        </w:rPr>
        <w:t>Bộ Y tế (2020), "Hướng dẫn chẩn đoán và điều trị đái tháo đường típ 2”, Ban hành</w:t>
      </w:r>
      <w:r w:rsidR="00A8222B" w:rsidRPr="00FE7693">
        <w:rPr>
          <w:rFonts w:ascii="Arial" w:hAnsi="Arial" w:cs="Arial"/>
          <w:sz w:val="20"/>
        </w:rPr>
        <w:t xml:space="preserve"> </w:t>
      </w:r>
      <w:r w:rsidRPr="00FE7693">
        <w:rPr>
          <w:rFonts w:ascii="Arial" w:hAnsi="Arial" w:cs="Arial"/>
          <w:sz w:val="20"/>
        </w:rPr>
        <w:t>theo quyết định số 5481/QĐ-BYT ngày 30 tháng 12 năm 2020</w:t>
      </w:r>
    </w:p>
    <w:p w14:paraId="1C31EBED"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2.</w:t>
      </w:r>
      <w:r w:rsidR="001F364C" w:rsidRPr="00FE7693">
        <w:rPr>
          <w:rFonts w:ascii="Arial" w:hAnsi="Arial" w:cs="Arial"/>
          <w:sz w:val="20"/>
        </w:rPr>
        <w:t xml:space="preserve"> </w:t>
      </w:r>
      <w:r w:rsidRPr="00FE7693">
        <w:rPr>
          <w:rFonts w:ascii="Arial" w:hAnsi="Arial" w:cs="Arial"/>
          <w:sz w:val="20"/>
        </w:rPr>
        <w:t xml:space="preserve">Bộ Y tế (2021), Kết quả Tổng điều tra dinh dưỡng toàn quốc 2017 </w:t>
      </w:r>
      <w:r w:rsidR="001F364C" w:rsidRPr="00FE7693">
        <w:rPr>
          <w:rFonts w:ascii="Arial" w:hAnsi="Arial" w:cs="Arial"/>
          <w:sz w:val="20"/>
        </w:rPr>
        <w:t>-</w:t>
      </w:r>
      <w:r w:rsidRPr="00FE7693">
        <w:rPr>
          <w:rFonts w:ascii="Arial" w:hAnsi="Arial" w:cs="Arial"/>
          <w:sz w:val="20"/>
        </w:rPr>
        <w:t xml:space="preserve"> 2020, Bộ Y tế công bố kết quả Tổng </w:t>
      </w:r>
      <w:r w:rsidR="00CA55A7">
        <w:rPr>
          <w:rFonts w:ascii="Arial" w:hAnsi="Arial" w:cs="Arial"/>
          <w:sz w:val="20"/>
        </w:rPr>
        <w:t>điều</w:t>
      </w:r>
      <w:r w:rsidRPr="00FE7693">
        <w:rPr>
          <w:rFonts w:ascii="Arial" w:hAnsi="Arial" w:cs="Arial"/>
          <w:sz w:val="20"/>
        </w:rPr>
        <w:t xml:space="preserve"> tra Dinh dưỡng năm 2019-2020 - Tin nổi bật - Cổng thông tin Bộ Y tế (moh.gov.vn)</w:t>
      </w:r>
    </w:p>
    <w:p w14:paraId="4234A4E3"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3.</w:t>
      </w:r>
      <w:r w:rsidR="001F364C" w:rsidRPr="00FE7693">
        <w:rPr>
          <w:rFonts w:ascii="Arial" w:hAnsi="Arial" w:cs="Arial"/>
          <w:sz w:val="20"/>
        </w:rPr>
        <w:t xml:space="preserve"> </w:t>
      </w:r>
      <w:r w:rsidRPr="00FE7693">
        <w:rPr>
          <w:rFonts w:ascii="Arial" w:hAnsi="Arial" w:cs="Arial"/>
          <w:sz w:val="20"/>
        </w:rPr>
        <w:t>Hội Nội tiết- Đái tháo đường Việt Nam (2016), Chẩn đoán và điều trị một số bệnh nội tiết- chuyển hóa, Nhà xuất bản Y học.</w:t>
      </w:r>
    </w:p>
    <w:p w14:paraId="78A6755F" w14:textId="77777777" w:rsidR="00F02947" w:rsidRPr="00FE7693" w:rsidRDefault="00F02947" w:rsidP="00FE7693">
      <w:pPr>
        <w:widowControl w:val="0"/>
        <w:autoSpaceDE w:val="0"/>
        <w:autoSpaceDN w:val="0"/>
        <w:adjustRightInd w:val="0"/>
        <w:spacing w:before="120"/>
        <w:rPr>
          <w:rFonts w:ascii="Arial" w:hAnsi="Arial" w:cs="Arial"/>
          <w:b/>
          <w:sz w:val="20"/>
        </w:rPr>
      </w:pPr>
      <w:r w:rsidRPr="00FE7693">
        <w:rPr>
          <w:rFonts w:ascii="Arial" w:hAnsi="Arial" w:cs="Arial"/>
          <w:b/>
          <w:sz w:val="20"/>
        </w:rPr>
        <w:t>Tiếng Anh</w:t>
      </w:r>
    </w:p>
    <w:p w14:paraId="24F1C6B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4.</w:t>
      </w:r>
      <w:r w:rsidR="001F364C" w:rsidRPr="00FE7693">
        <w:rPr>
          <w:rFonts w:ascii="Arial" w:hAnsi="Arial" w:cs="Arial"/>
          <w:sz w:val="20"/>
        </w:rPr>
        <w:t xml:space="preserve"> </w:t>
      </w:r>
      <w:r w:rsidRPr="00FE7693">
        <w:rPr>
          <w:rFonts w:ascii="Arial" w:hAnsi="Arial" w:cs="Arial"/>
          <w:sz w:val="20"/>
        </w:rPr>
        <w:t>Agrawal</w:t>
      </w:r>
      <w:r w:rsidR="001F364C" w:rsidRPr="00FE7693">
        <w:rPr>
          <w:rFonts w:ascii="Arial" w:hAnsi="Arial" w:cs="Arial"/>
          <w:sz w:val="20"/>
        </w:rPr>
        <w:t xml:space="preserve"> </w:t>
      </w:r>
      <w:r w:rsidRPr="00FE7693">
        <w:rPr>
          <w:rFonts w:ascii="Arial" w:hAnsi="Arial" w:cs="Arial"/>
          <w:sz w:val="20"/>
        </w:rPr>
        <w:t>S.</w:t>
      </w:r>
      <w:r w:rsidR="001F364C" w:rsidRPr="00FE7693">
        <w:rPr>
          <w:rFonts w:ascii="Arial" w:hAnsi="Arial" w:cs="Arial"/>
          <w:sz w:val="20"/>
        </w:rPr>
        <w:t xml:space="preserve"> </w:t>
      </w:r>
      <w:r w:rsidRPr="00FE7693">
        <w:rPr>
          <w:rFonts w:ascii="Arial" w:hAnsi="Arial" w:cs="Arial"/>
          <w:sz w:val="20"/>
        </w:rPr>
        <w:t>(2016).</w:t>
      </w:r>
      <w:r w:rsidR="001F364C" w:rsidRPr="00FE7693">
        <w:rPr>
          <w:rFonts w:ascii="Arial" w:hAnsi="Arial" w:cs="Arial"/>
          <w:sz w:val="20"/>
        </w:rPr>
        <w:t xml:space="preserve"> </w:t>
      </w:r>
      <w:r w:rsidRPr="00FE7693">
        <w:rPr>
          <w:rFonts w:ascii="Arial" w:hAnsi="Arial" w:cs="Arial"/>
          <w:sz w:val="20"/>
        </w:rPr>
        <w:t>Obesity,</w:t>
      </w:r>
      <w:r w:rsidR="001F364C" w:rsidRPr="00FE7693">
        <w:rPr>
          <w:rFonts w:ascii="Arial" w:hAnsi="Arial" w:cs="Arial"/>
          <w:sz w:val="20"/>
        </w:rPr>
        <w:t xml:space="preserve"> </w:t>
      </w:r>
      <w:r w:rsidRPr="00FE7693">
        <w:rPr>
          <w:rFonts w:ascii="Arial" w:hAnsi="Arial" w:cs="Arial"/>
          <w:sz w:val="20"/>
        </w:rPr>
        <w:t>Bariatric</w:t>
      </w:r>
      <w:r w:rsidR="001F364C" w:rsidRPr="00FE7693">
        <w:rPr>
          <w:rFonts w:ascii="Arial" w:hAnsi="Arial" w:cs="Arial"/>
          <w:sz w:val="20"/>
        </w:rPr>
        <w:t xml:space="preserve"> </w:t>
      </w:r>
      <w:r w:rsidRPr="00FE7693">
        <w:rPr>
          <w:rFonts w:ascii="Arial" w:hAnsi="Arial" w:cs="Arial"/>
          <w:sz w:val="20"/>
        </w:rPr>
        <w:t>and</w:t>
      </w:r>
      <w:r w:rsidR="001F364C" w:rsidRPr="00FE7693">
        <w:rPr>
          <w:rFonts w:ascii="Arial" w:hAnsi="Arial" w:cs="Arial"/>
          <w:sz w:val="20"/>
        </w:rPr>
        <w:t xml:space="preserve"> </w:t>
      </w:r>
      <w:r w:rsidRPr="00FE7693">
        <w:rPr>
          <w:rFonts w:ascii="Arial" w:hAnsi="Arial" w:cs="Arial"/>
          <w:sz w:val="20"/>
        </w:rPr>
        <w:t>Metabolic</w:t>
      </w:r>
      <w:r w:rsidR="001F364C" w:rsidRPr="00FE7693">
        <w:rPr>
          <w:rFonts w:ascii="Arial" w:hAnsi="Arial" w:cs="Arial"/>
          <w:sz w:val="20"/>
        </w:rPr>
        <w:t xml:space="preserve"> </w:t>
      </w:r>
      <w:r w:rsidRPr="00FE7693">
        <w:rPr>
          <w:rFonts w:ascii="Arial" w:hAnsi="Arial" w:cs="Arial"/>
          <w:sz w:val="20"/>
        </w:rPr>
        <w:t>Surgery,</w:t>
      </w:r>
      <w:r w:rsidR="001F364C" w:rsidRPr="00FE7693">
        <w:rPr>
          <w:rFonts w:ascii="Arial" w:hAnsi="Arial" w:cs="Arial"/>
          <w:sz w:val="20"/>
        </w:rPr>
        <w:t xml:space="preserve"> </w:t>
      </w:r>
      <w:r w:rsidRPr="00FE7693">
        <w:rPr>
          <w:rFonts w:ascii="Arial" w:hAnsi="Arial" w:cs="Arial"/>
          <w:sz w:val="20"/>
        </w:rPr>
        <w:t>Springer</w:t>
      </w:r>
      <w:r w:rsidR="001F364C" w:rsidRPr="00FE7693">
        <w:rPr>
          <w:rFonts w:ascii="Arial" w:hAnsi="Arial" w:cs="Arial"/>
          <w:sz w:val="20"/>
        </w:rPr>
        <w:t xml:space="preserve"> </w:t>
      </w:r>
      <w:r w:rsidRPr="00FE7693">
        <w:rPr>
          <w:rFonts w:ascii="Arial" w:hAnsi="Arial" w:cs="Arial"/>
          <w:sz w:val="20"/>
        </w:rPr>
        <w:t>Cham</w:t>
      </w:r>
      <w:r w:rsidR="00A8222B" w:rsidRPr="00FE7693">
        <w:rPr>
          <w:rFonts w:ascii="Arial" w:hAnsi="Arial" w:cs="Arial"/>
          <w:sz w:val="20"/>
        </w:rPr>
        <w:t xml:space="preserve"> </w:t>
      </w:r>
      <w:r w:rsidRPr="00FE7693">
        <w:rPr>
          <w:rFonts w:ascii="Arial" w:hAnsi="Arial" w:cs="Arial"/>
          <w:sz w:val="20"/>
        </w:rPr>
        <w:t>Heidelberg New York Dordrecht London.</w:t>
      </w:r>
    </w:p>
    <w:p w14:paraId="6A60D7B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5.</w:t>
      </w:r>
      <w:r w:rsidR="001F364C" w:rsidRPr="00FE7693">
        <w:rPr>
          <w:rFonts w:ascii="Arial" w:hAnsi="Arial" w:cs="Arial"/>
          <w:sz w:val="20"/>
        </w:rPr>
        <w:t xml:space="preserve"> </w:t>
      </w:r>
      <w:r w:rsidRPr="00FE7693">
        <w:rPr>
          <w:rFonts w:ascii="Arial" w:hAnsi="Arial" w:cs="Arial"/>
          <w:sz w:val="20"/>
        </w:rPr>
        <w:t>American</w:t>
      </w:r>
      <w:r w:rsidR="001F364C" w:rsidRPr="00FE7693">
        <w:rPr>
          <w:rFonts w:ascii="Arial" w:hAnsi="Arial" w:cs="Arial"/>
          <w:sz w:val="20"/>
        </w:rPr>
        <w:t xml:space="preserve"> </w:t>
      </w:r>
      <w:r w:rsidRPr="00FE7693">
        <w:rPr>
          <w:rFonts w:ascii="Arial" w:hAnsi="Arial" w:cs="Arial"/>
          <w:sz w:val="20"/>
        </w:rPr>
        <w:t>Diabetes</w:t>
      </w:r>
      <w:r w:rsidR="001F364C" w:rsidRPr="00FE7693">
        <w:rPr>
          <w:rFonts w:ascii="Arial" w:hAnsi="Arial" w:cs="Arial"/>
          <w:sz w:val="20"/>
        </w:rPr>
        <w:t xml:space="preserve"> </w:t>
      </w:r>
      <w:r w:rsidRPr="00FE7693">
        <w:rPr>
          <w:rFonts w:ascii="Arial" w:hAnsi="Arial" w:cs="Arial"/>
          <w:sz w:val="20"/>
        </w:rPr>
        <w:t>Association.12</w:t>
      </w:r>
      <w:r w:rsidR="001F364C" w:rsidRPr="00FE7693">
        <w:rPr>
          <w:rFonts w:ascii="Arial" w:hAnsi="Arial" w:cs="Arial"/>
          <w:sz w:val="20"/>
        </w:rPr>
        <w:t xml:space="preserve"> </w:t>
      </w:r>
      <w:r w:rsidRPr="00FE7693">
        <w:rPr>
          <w:rFonts w:ascii="Arial" w:hAnsi="Arial" w:cs="Arial"/>
          <w:sz w:val="20"/>
        </w:rPr>
        <w:t>Older</w:t>
      </w:r>
      <w:r w:rsidR="001F364C" w:rsidRPr="00FE7693">
        <w:rPr>
          <w:rFonts w:ascii="Arial" w:hAnsi="Arial" w:cs="Arial"/>
          <w:sz w:val="20"/>
        </w:rPr>
        <w:t xml:space="preserve"> </w:t>
      </w:r>
      <w:r w:rsidRPr="00FE7693">
        <w:rPr>
          <w:rFonts w:ascii="Arial" w:hAnsi="Arial" w:cs="Arial"/>
          <w:sz w:val="20"/>
        </w:rPr>
        <w:t>adults:</w:t>
      </w:r>
      <w:r w:rsidR="001F364C" w:rsidRPr="00FE7693">
        <w:rPr>
          <w:rFonts w:ascii="Arial" w:hAnsi="Arial" w:cs="Arial"/>
          <w:sz w:val="20"/>
        </w:rPr>
        <w:t xml:space="preserve"> </w:t>
      </w:r>
      <w:r w:rsidRPr="00FE7693">
        <w:rPr>
          <w:rFonts w:ascii="Arial" w:hAnsi="Arial" w:cs="Arial"/>
          <w:sz w:val="20"/>
        </w:rPr>
        <w:t>Standards</w:t>
      </w:r>
      <w:r w:rsidR="001F364C" w:rsidRPr="00FE7693">
        <w:rPr>
          <w:rFonts w:ascii="Arial" w:hAnsi="Arial" w:cs="Arial"/>
          <w:sz w:val="20"/>
        </w:rPr>
        <w:t xml:space="preserve"> </w:t>
      </w:r>
      <w:r w:rsidRPr="00FE7693">
        <w:rPr>
          <w:rFonts w:ascii="Arial" w:hAnsi="Arial" w:cs="Arial"/>
          <w:sz w:val="20"/>
        </w:rPr>
        <w:t>of</w:t>
      </w:r>
      <w:r w:rsidR="001F364C" w:rsidRPr="00FE7693">
        <w:rPr>
          <w:rFonts w:ascii="Arial" w:hAnsi="Arial" w:cs="Arial"/>
          <w:sz w:val="20"/>
        </w:rPr>
        <w:t xml:space="preserve"> </w:t>
      </w:r>
      <w:r w:rsidRPr="00FE7693">
        <w:rPr>
          <w:rFonts w:ascii="Arial" w:hAnsi="Arial" w:cs="Arial"/>
          <w:sz w:val="20"/>
        </w:rPr>
        <w:t>medical</w:t>
      </w:r>
      <w:r w:rsidR="001F364C" w:rsidRPr="00FE7693">
        <w:rPr>
          <w:rFonts w:ascii="Arial" w:hAnsi="Arial" w:cs="Arial"/>
          <w:sz w:val="20"/>
        </w:rPr>
        <w:t xml:space="preserve"> </w:t>
      </w:r>
      <w:r w:rsidRPr="00FE7693">
        <w:rPr>
          <w:rFonts w:ascii="Arial" w:hAnsi="Arial" w:cs="Arial"/>
          <w:sz w:val="20"/>
        </w:rPr>
        <w:t>care</w:t>
      </w:r>
      <w:r w:rsidR="001F364C" w:rsidRPr="00FE7693">
        <w:rPr>
          <w:rFonts w:ascii="Arial" w:hAnsi="Arial" w:cs="Arial"/>
          <w:sz w:val="20"/>
        </w:rPr>
        <w:t xml:space="preserve"> </w:t>
      </w:r>
      <w:r w:rsidRPr="00FE7693">
        <w:rPr>
          <w:rFonts w:ascii="Arial" w:hAnsi="Arial" w:cs="Arial"/>
          <w:sz w:val="20"/>
        </w:rPr>
        <w:t>in diabetes- 2021, Diabetes Care 2021; 44 (Suppl.1):S168-S179</w:t>
      </w:r>
    </w:p>
    <w:p w14:paraId="20401F4F"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6.</w:t>
      </w:r>
      <w:r w:rsidR="001F364C" w:rsidRPr="00FE7693">
        <w:rPr>
          <w:rFonts w:ascii="Arial" w:hAnsi="Arial" w:cs="Arial"/>
          <w:sz w:val="20"/>
        </w:rPr>
        <w:t xml:space="preserve"> </w:t>
      </w:r>
      <w:r w:rsidRPr="00FE7693">
        <w:rPr>
          <w:rFonts w:ascii="Arial" w:hAnsi="Arial" w:cs="Arial"/>
          <w:sz w:val="20"/>
        </w:rPr>
        <w:t>Barlow SE and the Expert Committee. Expert committee recommendations regarding the prevention, assessment, and treatment of child and adolescent overweight and obesity: summary report. Pediatrics 2007;120 Supplement December 2007:S164— S192.</w:t>
      </w:r>
    </w:p>
    <w:p w14:paraId="56FDEA6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7.</w:t>
      </w:r>
      <w:r w:rsidR="001F364C" w:rsidRPr="00FE7693">
        <w:rPr>
          <w:rFonts w:ascii="Arial" w:hAnsi="Arial" w:cs="Arial"/>
          <w:sz w:val="20"/>
        </w:rPr>
        <w:t xml:space="preserve"> </w:t>
      </w:r>
      <w:r w:rsidRPr="00FE7693">
        <w:rPr>
          <w:rFonts w:ascii="Arial" w:hAnsi="Arial" w:cs="Arial"/>
          <w:sz w:val="20"/>
        </w:rPr>
        <w:t>Bo-Yeon Kim, Seon Mee Kang, Jee-Hyun Kang et al, Committee of Clinical Practice Guidelines, Korean Society for the Study of Obesity (KSSO). 2020 Korean Society for the Study of Obesity Guidelines for the Management of Obesity in Korea. J Obes Metab Syndr. 2021 Jun 30;30(2):81-92. doi: 10.7570/jomes21022.</w:t>
      </w:r>
    </w:p>
    <w:p w14:paraId="66161695"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8.</w:t>
      </w:r>
      <w:r w:rsidR="001F364C" w:rsidRPr="00FE7693">
        <w:rPr>
          <w:rFonts w:ascii="Arial" w:hAnsi="Arial" w:cs="Arial"/>
          <w:sz w:val="20"/>
        </w:rPr>
        <w:t xml:space="preserve"> </w:t>
      </w:r>
      <w:r w:rsidRPr="00FE7693">
        <w:rPr>
          <w:rFonts w:ascii="Arial" w:hAnsi="Arial" w:cs="Arial"/>
          <w:sz w:val="20"/>
        </w:rPr>
        <w:t>Chanoine JP, Hampl S, Jensen C, Boldrin M, Hauptman J. Effect of orlistat on weight and body composition in obese adolescents: a randomized controlled trial. JAMA</w:t>
      </w:r>
      <w:r w:rsidR="00A8222B" w:rsidRPr="00FE7693">
        <w:rPr>
          <w:rFonts w:ascii="Arial" w:hAnsi="Arial" w:cs="Arial"/>
          <w:sz w:val="20"/>
        </w:rPr>
        <w:t xml:space="preserve"> </w:t>
      </w:r>
      <w:r w:rsidRPr="00FE7693">
        <w:rPr>
          <w:rFonts w:ascii="Arial" w:hAnsi="Arial" w:cs="Arial"/>
          <w:sz w:val="20"/>
        </w:rPr>
        <w:t>2005;293: 2873-83.</w:t>
      </w:r>
    </w:p>
    <w:p w14:paraId="786D2F90"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9.</w:t>
      </w:r>
      <w:r w:rsidR="001F364C" w:rsidRPr="00FE7693">
        <w:rPr>
          <w:rFonts w:ascii="Arial" w:hAnsi="Arial" w:cs="Arial"/>
          <w:sz w:val="20"/>
        </w:rPr>
        <w:t xml:space="preserve"> </w:t>
      </w:r>
      <w:r w:rsidRPr="00FE7693">
        <w:rPr>
          <w:rFonts w:ascii="Arial" w:hAnsi="Arial" w:cs="Arial"/>
          <w:sz w:val="20"/>
        </w:rPr>
        <w:t>Chiu CJ, Birch DW, Shi X, Karmali S. Outcomes of the adjustable gastric band in a publicly</w:t>
      </w:r>
      <w:r w:rsidR="001F364C" w:rsidRPr="00FE7693">
        <w:rPr>
          <w:rFonts w:ascii="Arial" w:hAnsi="Arial" w:cs="Arial"/>
          <w:sz w:val="20"/>
        </w:rPr>
        <w:t xml:space="preserve"> </w:t>
      </w:r>
      <w:r w:rsidRPr="00FE7693">
        <w:rPr>
          <w:rFonts w:ascii="Arial" w:hAnsi="Arial" w:cs="Arial"/>
          <w:sz w:val="20"/>
        </w:rPr>
        <w:t>funded</w:t>
      </w:r>
      <w:r w:rsidR="001F364C" w:rsidRPr="00FE7693">
        <w:rPr>
          <w:rFonts w:ascii="Arial" w:hAnsi="Arial" w:cs="Arial"/>
          <w:sz w:val="20"/>
        </w:rPr>
        <w:t xml:space="preserve"> </w:t>
      </w:r>
      <w:r w:rsidRPr="00FE7693">
        <w:rPr>
          <w:rFonts w:ascii="Arial" w:hAnsi="Arial" w:cs="Arial"/>
          <w:sz w:val="20"/>
        </w:rPr>
        <w:t>obesity</w:t>
      </w:r>
      <w:r w:rsidR="001F364C" w:rsidRPr="00FE7693">
        <w:rPr>
          <w:rFonts w:ascii="Arial" w:hAnsi="Arial" w:cs="Arial"/>
          <w:sz w:val="20"/>
        </w:rPr>
        <w:t xml:space="preserve"> </w:t>
      </w:r>
      <w:r w:rsidRPr="00FE7693">
        <w:rPr>
          <w:rFonts w:ascii="Arial" w:hAnsi="Arial" w:cs="Arial"/>
          <w:sz w:val="20"/>
        </w:rPr>
        <w:t>program.</w:t>
      </w:r>
      <w:r w:rsidR="001F364C" w:rsidRPr="00FE7693">
        <w:rPr>
          <w:rFonts w:ascii="Arial" w:hAnsi="Arial" w:cs="Arial"/>
          <w:sz w:val="20"/>
        </w:rPr>
        <w:t xml:space="preserve"> </w:t>
      </w:r>
      <w:r w:rsidRPr="00FE7693">
        <w:rPr>
          <w:rFonts w:ascii="Arial" w:hAnsi="Arial" w:cs="Arial"/>
          <w:sz w:val="20"/>
        </w:rPr>
        <w:t>Can</w:t>
      </w:r>
      <w:r w:rsidR="001F364C" w:rsidRPr="00FE7693">
        <w:rPr>
          <w:rFonts w:ascii="Arial" w:hAnsi="Arial" w:cs="Arial"/>
          <w:sz w:val="20"/>
        </w:rPr>
        <w:t xml:space="preserve"> </w:t>
      </w:r>
      <w:r w:rsidRPr="00FE7693">
        <w:rPr>
          <w:rFonts w:ascii="Arial" w:hAnsi="Arial" w:cs="Arial"/>
          <w:sz w:val="20"/>
        </w:rPr>
        <w:t>J</w:t>
      </w:r>
      <w:r w:rsidR="001F364C" w:rsidRPr="00FE7693">
        <w:rPr>
          <w:rFonts w:ascii="Arial" w:hAnsi="Arial" w:cs="Arial"/>
          <w:sz w:val="20"/>
        </w:rPr>
        <w:t xml:space="preserve"> </w:t>
      </w:r>
      <w:r w:rsidRPr="00FE7693">
        <w:rPr>
          <w:rFonts w:ascii="Arial" w:hAnsi="Arial" w:cs="Arial"/>
          <w:sz w:val="20"/>
        </w:rPr>
        <w:t>Surg.</w:t>
      </w:r>
      <w:r w:rsidR="001F364C" w:rsidRPr="00FE7693">
        <w:rPr>
          <w:rFonts w:ascii="Arial" w:hAnsi="Arial" w:cs="Arial"/>
          <w:sz w:val="20"/>
        </w:rPr>
        <w:t xml:space="preserve"> </w:t>
      </w:r>
      <w:r w:rsidRPr="00FE7693">
        <w:rPr>
          <w:rFonts w:ascii="Arial" w:hAnsi="Arial" w:cs="Arial"/>
          <w:sz w:val="20"/>
        </w:rPr>
        <w:t>2013</w:t>
      </w:r>
      <w:r w:rsidR="001F364C" w:rsidRPr="00FE7693">
        <w:rPr>
          <w:rFonts w:ascii="Arial" w:hAnsi="Arial" w:cs="Arial"/>
          <w:sz w:val="20"/>
        </w:rPr>
        <w:t xml:space="preserve"> </w:t>
      </w:r>
      <w:r w:rsidRPr="00FE7693">
        <w:rPr>
          <w:rFonts w:ascii="Arial" w:hAnsi="Arial" w:cs="Arial"/>
          <w:sz w:val="20"/>
        </w:rPr>
        <w:t>Aug;56(4):233-6.</w:t>
      </w:r>
      <w:r w:rsidR="001F364C" w:rsidRPr="00FE7693">
        <w:rPr>
          <w:rFonts w:ascii="Arial" w:hAnsi="Arial" w:cs="Arial"/>
          <w:sz w:val="20"/>
        </w:rPr>
        <w:t xml:space="preserve"> </w:t>
      </w:r>
      <w:r w:rsidRPr="00FE7693">
        <w:rPr>
          <w:rFonts w:ascii="Arial" w:hAnsi="Arial" w:cs="Arial"/>
          <w:sz w:val="20"/>
        </w:rPr>
        <w:t>doi:10.1503/cjs.002712. PMID: 23883492; PMCID: PMC3728241.</w:t>
      </w:r>
    </w:p>
    <w:p w14:paraId="0FC69490"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10. Cote AT, Harris KC, Panagiotopoulos C, et al. Childhood obesity and cardiovascular dysfunction. J Am Coll Cardiol 2013; 62 (15):1309</w:t>
      </w:r>
      <w:r w:rsidR="001F364C" w:rsidRPr="00FE7693">
        <w:rPr>
          <w:rFonts w:ascii="Arial" w:hAnsi="Arial" w:cs="Arial"/>
          <w:sz w:val="20"/>
        </w:rPr>
        <w:t>-</w:t>
      </w:r>
      <w:r w:rsidRPr="00FE7693">
        <w:rPr>
          <w:rFonts w:ascii="Arial" w:hAnsi="Arial" w:cs="Arial"/>
          <w:sz w:val="20"/>
        </w:rPr>
        <w:t>1319.</w:t>
      </w:r>
    </w:p>
    <w:p w14:paraId="503E057E"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11. Gallagher, D. A Guide to Methods for Assessing Childhood Obesity. Washington</w:t>
      </w:r>
      <w:r w:rsidR="00A8222B" w:rsidRPr="00FE7693">
        <w:rPr>
          <w:rFonts w:ascii="Arial" w:hAnsi="Arial" w:cs="Arial"/>
          <w:sz w:val="20"/>
        </w:rPr>
        <w:t xml:space="preserve"> </w:t>
      </w:r>
      <w:r w:rsidRPr="00FE7693">
        <w:rPr>
          <w:rFonts w:ascii="Arial" w:hAnsi="Arial" w:cs="Arial"/>
          <w:sz w:val="20"/>
        </w:rPr>
        <w:t>(DC): National Collaborative on Childhood Obesity Research. June 2020.</w:t>
      </w:r>
    </w:p>
    <w:p w14:paraId="7665A0EA"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12. General</w:t>
      </w:r>
      <w:r w:rsidR="001F364C" w:rsidRPr="00FE7693">
        <w:rPr>
          <w:rFonts w:ascii="Arial" w:hAnsi="Arial" w:cs="Arial"/>
          <w:sz w:val="20"/>
        </w:rPr>
        <w:t xml:space="preserve"> </w:t>
      </w:r>
      <w:r w:rsidRPr="00FE7693">
        <w:rPr>
          <w:rFonts w:ascii="Arial" w:hAnsi="Arial" w:cs="Arial"/>
          <w:sz w:val="20"/>
        </w:rPr>
        <w:t>Department</w:t>
      </w:r>
      <w:r w:rsidR="001F364C" w:rsidRPr="00FE7693">
        <w:rPr>
          <w:rFonts w:ascii="Arial" w:hAnsi="Arial" w:cs="Arial"/>
          <w:sz w:val="20"/>
        </w:rPr>
        <w:t xml:space="preserve"> </w:t>
      </w:r>
      <w:r w:rsidRPr="00FE7693">
        <w:rPr>
          <w:rFonts w:ascii="Arial" w:hAnsi="Arial" w:cs="Arial"/>
          <w:sz w:val="20"/>
        </w:rPr>
        <w:t>of Preventive</w:t>
      </w:r>
      <w:r w:rsidR="001F364C" w:rsidRPr="00FE7693">
        <w:rPr>
          <w:rFonts w:ascii="Arial" w:hAnsi="Arial" w:cs="Arial"/>
          <w:sz w:val="20"/>
        </w:rPr>
        <w:t xml:space="preserve"> </w:t>
      </w:r>
      <w:r w:rsidRPr="00FE7693">
        <w:rPr>
          <w:rFonts w:ascii="Arial" w:hAnsi="Arial" w:cs="Arial"/>
          <w:sz w:val="20"/>
        </w:rPr>
        <w:t>Medicine,</w:t>
      </w:r>
      <w:r w:rsidR="001F364C" w:rsidRPr="00FE7693">
        <w:rPr>
          <w:rFonts w:ascii="Arial" w:hAnsi="Arial" w:cs="Arial"/>
          <w:sz w:val="20"/>
        </w:rPr>
        <w:t xml:space="preserve"> </w:t>
      </w:r>
      <w:r w:rsidRPr="00FE7693">
        <w:rPr>
          <w:rFonts w:ascii="Arial" w:hAnsi="Arial" w:cs="Arial"/>
          <w:sz w:val="20"/>
        </w:rPr>
        <w:t>Ministry of</w:t>
      </w:r>
      <w:r w:rsidR="001F364C" w:rsidRPr="00FE7693">
        <w:rPr>
          <w:rFonts w:ascii="Arial" w:hAnsi="Arial" w:cs="Arial"/>
          <w:sz w:val="20"/>
        </w:rPr>
        <w:t xml:space="preserve"> </w:t>
      </w:r>
      <w:r w:rsidRPr="00FE7693">
        <w:rPr>
          <w:rFonts w:ascii="Arial" w:hAnsi="Arial" w:cs="Arial"/>
          <w:sz w:val="20"/>
        </w:rPr>
        <w:t>Health,</w:t>
      </w:r>
      <w:r w:rsidR="001F364C" w:rsidRPr="00FE7693">
        <w:rPr>
          <w:rFonts w:ascii="Arial" w:hAnsi="Arial" w:cs="Arial"/>
          <w:sz w:val="20"/>
        </w:rPr>
        <w:t xml:space="preserve"> </w:t>
      </w:r>
      <w:r w:rsidRPr="00FE7693">
        <w:rPr>
          <w:rFonts w:ascii="Arial" w:hAnsi="Arial" w:cs="Arial"/>
          <w:sz w:val="20"/>
        </w:rPr>
        <w:t>2016 National</w:t>
      </w:r>
      <w:r w:rsidR="003F3E0F" w:rsidRPr="00FE7693">
        <w:rPr>
          <w:rFonts w:ascii="Arial" w:hAnsi="Arial" w:cs="Arial"/>
          <w:sz w:val="20"/>
        </w:rPr>
        <w:t xml:space="preserve"> </w:t>
      </w:r>
      <w:r w:rsidRPr="00FE7693">
        <w:rPr>
          <w:rFonts w:ascii="Arial" w:hAnsi="Arial" w:cs="Arial"/>
          <w:sz w:val="20"/>
        </w:rPr>
        <w:t>Survey on the risk factors of non communicable diseases (STEPS) Viet Nam 2015.</w:t>
      </w:r>
    </w:p>
    <w:p w14:paraId="33DB31A9"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13. Korea</w:t>
      </w:r>
      <w:r w:rsidR="001F364C" w:rsidRPr="00FE7693">
        <w:rPr>
          <w:rFonts w:ascii="Arial" w:hAnsi="Arial" w:cs="Arial"/>
          <w:sz w:val="20"/>
        </w:rPr>
        <w:t xml:space="preserve"> </w:t>
      </w:r>
      <w:r w:rsidRPr="00FE7693">
        <w:rPr>
          <w:rFonts w:ascii="Arial" w:hAnsi="Arial" w:cs="Arial"/>
          <w:sz w:val="20"/>
        </w:rPr>
        <w:t>Disease</w:t>
      </w:r>
      <w:r w:rsidR="001F364C" w:rsidRPr="00FE7693">
        <w:rPr>
          <w:rFonts w:ascii="Arial" w:hAnsi="Arial" w:cs="Arial"/>
          <w:sz w:val="20"/>
        </w:rPr>
        <w:t xml:space="preserve"> </w:t>
      </w:r>
      <w:r w:rsidRPr="00FE7693">
        <w:rPr>
          <w:rFonts w:ascii="Arial" w:hAnsi="Arial" w:cs="Arial"/>
          <w:sz w:val="20"/>
        </w:rPr>
        <w:t>Control</w:t>
      </w:r>
      <w:r w:rsidR="001F364C" w:rsidRPr="00FE7693">
        <w:rPr>
          <w:rFonts w:ascii="Arial" w:hAnsi="Arial" w:cs="Arial"/>
          <w:sz w:val="20"/>
        </w:rPr>
        <w:t xml:space="preserve"> </w:t>
      </w:r>
      <w:r w:rsidRPr="00FE7693">
        <w:rPr>
          <w:rFonts w:ascii="Arial" w:hAnsi="Arial" w:cs="Arial"/>
          <w:sz w:val="20"/>
        </w:rPr>
        <w:t>and</w:t>
      </w:r>
      <w:r w:rsidR="001F364C" w:rsidRPr="00FE7693">
        <w:rPr>
          <w:rFonts w:ascii="Arial" w:hAnsi="Arial" w:cs="Arial"/>
          <w:sz w:val="20"/>
        </w:rPr>
        <w:t xml:space="preserve"> </w:t>
      </w:r>
      <w:r w:rsidRPr="00FE7693">
        <w:rPr>
          <w:rFonts w:ascii="Arial" w:hAnsi="Arial" w:cs="Arial"/>
          <w:sz w:val="20"/>
        </w:rPr>
        <w:t>Prevention</w:t>
      </w:r>
      <w:r w:rsidR="001F364C" w:rsidRPr="00FE7693">
        <w:rPr>
          <w:rFonts w:ascii="Arial" w:hAnsi="Arial" w:cs="Arial"/>
          <w:sz w:val="20"/>
        </w:rPr>
        <w:t xml:space="preserve"> </w:t>
      </w:r>
      <w:r w:rsidRPr="00FE7693">
        <w:rPr>
          <w:rFonts w:ascii="Arial" w:hAnsi="Arial" w:cs="Arial"/>
          <w:sz w:val="20"/>
        </w:rPr>
        <w:t>Agency.</w:t>
      </w:r>
      <w:r w:rsidR="001F364C" w:rsidRPr="00FE7693">
        <w:rPr>
          <w:rFonts w:ascii="Arial" w:hAnsi="Arial" w:cs="Arial"/>
          <w:sz w:val="20"/>
        </w:rPr>
        <w:t xml:space="preserve"> </w:t>
      </w:r>
      <w:r w:rsidRPr="00FE7693">
        <w:rPr>
          <w:rFonts w:ascii="Arial" w:hAnsi="Arial" w:cs="Arial"/>
          <w:sz w:val="20"/>
        </w:rPr>
        <w:t>Growth</w:t>
      </w:r>
      <w:r w:rsidR="001F364C" w:rsidRPr="00FE7693">
        <w:rPr>
          <w:rFonts w:ascii="Arial" w:hAnsi="Arial" w:cs="Arial"/>
          <w:sz w:val="20"/>
        </w:rPr>
        <w:t xml:space="preserve"> </w:t>
      </w:r>
      <w:r w:rsidRPr="00FE7693">
        <w:rPr>
          <w:rFonts w:ascii="Arial" w:hAnsi="Arial" w:cs="Arial"/>
          <w:sz w:val="20"/>
        </w:rPr>
        <w:t>charts</w:t>
      </w:r>
      <w:r w:rsidR="001F364C" w:rsidRPr="00FE7693">
        <w:rPr>
          <w:rFonts w:ascii="Arial" w:hAnsi="Arial" w:cs="Arial"/>
          <w:sz w:val="20"/>
        </w:rPr>
        <w:t xml:space="preserve"> </w:t>
      </w:r>
      <w:r w:rsidRPr="00FE7693">
        <w:rPr>
          <w:rFonts w:ascii="Arial" w:hAnsi="Arial" w:cs="Arial"/>
          <w:sz w:val="20"/>
        </w:rPr>
        <w:t>for</w:t>
      </w:r>
      <w:r w:rsidR="001F364C" w:rsidRPr="00FE7693">
        <w:rPr>
          <w:rFonts w:ascii="Arial" w:hAnsi="Arial" w:cs="Arial"/>
          <w:sz w:val="20"/>
        </w:rPr>
        <w:t xml:space="preserve"> </w:t>
      </w:r>
      <w:r w:rsidRPr="00FE7693">
        <w:rPr>
          <w:rFonts w:ascii="Arial" w:hAnsi="Arial" w:cs="Arial"/>
          <w:sz w:val="20"/>
        </w:rPr>
        <w:t>children</w:t>
      </w:r>
      <w:r w:rsidR="001F364C" w:rsidRPr="00FE7693">
        <w:rPr>
          <w:rFonts w:ascii="Arial" w:hAnsi="Arial" w:cs="Arial"/>
          <w:sz w:val="20"/>
        </w:rPr>
        <w:t xml:space="preserve"> </w:t>
      </w:r>
      <w:r w:rsidRPr="00FE7693">
        <w:rPr>
          <w:rFonts w:ascii="Arial" w:hAnsi="Arial" w:cs="Arial"/>
          <w:sz w:val="20"/>
        </w:rPr>
        <w:t>and adolescents. Cheongju: Korea Disease Control and Prevention Agency; 2017.</w:t>
      </w:r>
    </w:p>
    <w:p w14:paraId="7B0CF596"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14. Matson KL, Fallon RM. Treatment of obesity in children and adolescents. J Pediatr</w:t>
      </w:r>
      <w:r w:rsidR="003F3E0F" w:rsidRPr="00FE7693">
        <w:rPr>
          <w:rFonts w:ascii="Arial" w:hAnsi="Arial" w:cs="Arial"/>
          <w:sz w:val="20"/>
        </w:rPr>
        <w:t xml:space="preserve"> </w:t>
      </w:r>
      <w:r w:rsidRPr="00FE7693">
        <w:rPr>
          <w:rFonts w:ascii="Arial" w:hAnsi="Arial" w:cs="Arial"/>
          <w:sz w:val="20"/>
        </w:rPr>
        <w:t>Pharmacol Ther 2012;17:45-57.</w:t>
      </w:r>
    </w:p>
    <w:p w14:paraId="3B36697D"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15. Marceau P, Biron S, Marceau S, Hould FS, Lebel S, Lescelleur O, Biertho L, Kral JG. Biliopancreatic diversion-duodenal switch: independent contributions of sleeve resection</w:t>
      </w:r>
      <w:r w:rsidR="001F364C" w:rsidRPr="00FE7693">
        <w:rPr>
          <w:rFonts w:ascii="Arial" w:hAnsi="Arial" w:cs="Arial"/>
          <w:sz w:val="20"/>
        </w:rPr>
        <w:t xml:space="preserve"> </w:t>
      </w:r>
      <w:r w:rsidRPr="00FE7693">
        <w:rPr>
          <w:rFonts w:ascii="Arial" w:hAnsi="Arial" w:cs="Arial"/>
          <w:sz w:val="20"/>
        </w:rPr>
        <w:t>and</w:t>
      </w:r>
      <w:r w:rsidR="001F364C" w:rsidRPr="00FE7693">
        <w:rPr>
          <w:rFonts w:ascii="Arial" w:hAnsi="Arial" w:cs="Arial"/>
          <w:sz w:val="20"/>
        </w:rPr>
        <w:t xml:space="preserve"> </w:t>
      </w:r>
      <w:r w:rsidRPr="00FE7693">
        <w:rPr>
          <w:rFonts w:ascii="Arial" w:hAnsi="Arial" w:cs="Arial"/>
          <w:sz w:val="20"/>
        </w:rPr>
        <w:t>duodenal</w:t>
      </w:r>
      <w:r w:rsidR="001F364C" w:rsidRPr="00FE7693">
        <w:rPr>
          <w:rFonts w:ascii="Arial" w:hAnsi="Arial" w:cs="Arial"/>
          <w:sz w:val="20"/>
        </w:rPr>
        <w:t xml:space="preserve"> </w:t>
      </w:r>
      <w:r w:rsidRPr="00FE7693">
        <w:rPr>
          <w:rFonts w:ascii="Arial" w:hAnsi="Arial" w:cs="Arial"/>
          <w:sz w:val="20"/>
        </w:rPr>
        <w:t>exclusion.</w:t>
      </w:r>
      <w:r w:rsidR="001F364C" w:rsidRPr="00FE7693">
        <w:rPr>
          <w:rFonts w:ascii="Arial" w:hAnsi="Arial" w:cs="Arial"/>
          <w:sz w:val="20"/>
        </w:rPr>
        <w:t xml:space="preserve"> </w:t>
      </w:r>
      <w:r w:rsidRPr="00FE7693">
        <w:rPr>
          <w:rFonts w:ascii="Arial" w:hAnsi="Arial" w:cs="Arial"/>
          <w:sz w:val="20"/>
        </w:rPr>
        <w:t>Obes</w:t>
      </w:r>
      <w:r w:rsidR="001F364C" w:rsidRPr="00FE7693">
        <w:rPr>
          <w:rFonts w:ascii="Arial" w:hAnsi="Arial" w:cs="Arial"/>
          <w:sz w:val="20"/>
        </w:rPr>
        <w:t xml:space="preserve"> </w:t>
      </w:r>
      <w:r w:rsidRPr="00FE7693">
        <w:rPr>
          <w:rFonts w:ascii="Arial" w:hAnsi="Arial" w:cs="Arial"/>
          <w:sz w:val="20"/>
        </w:rPr>
        <w:t>Surg.</w:t>
      </w:r>
      <w:r w:rsidR="001F364C" w:rsidRPr="00FE7693">
        <w:rPr>
          <w:rFonts w:ascii="Arial" w:hAnsi="Arial" w:cs="Arial"/>
          <w:sz w:val="20"/>
        </w:rPr>
        <w:t xml:space="preserve"> </w:t>
      </w:r>
      <w:r w:rsidRPr="00FE7693">
        <w:rPr>
          <w:rFonts w:ascii="Arial" w:hAnsi="Arial" w:cs="Arial"/>
          <w:sz w:val="20"/>
        </w:rPr>
        <w:t>2014</w:t>
      </w:r>
      <w:r w:rsidR="001F364C" w:rsidRPr="00FE7693">
        <w:rPr>
          <w:rFonts w:ascii="Arial" w:hAnsi="Arial" w:cs="Arial"/>
          <w:sz w:val="20"/>
        </w:rPr>
        <w:t xml:space="preserve"> </w:t>
      </w:r>
      <w:r w:rsidRPr="00FE7693">
        <w:rPr>
          <w:rFonts w:ascii="Arial" w:hAnsi="Arial" w:cs="Arial"/>
          <w:sz w:val="20"/>
        </w:rPr>
        <w:t>Nov;24(11):1843-9.</w:t>
      </w:r>
      <w:r w:rsidR="001F364C" w:rsidRPr="00FE7693">
        <w:rPr>
          <w:rFonts w:ascii="Arial" w:hAnsi="Arial" w:cs="Arial"/>
          <w:sz w:val="20"/>
        </w:rPr>
        <w:t xml:space="preserve"> </w:t>
      </w:r>
      <w:r w:rsidRPr="00FE7693">
        <w:rPr>
          <w:rFonts w:ascii="Arial" w:hAnsi="Arial" w:cs="Arial"/>
          <w:sz w:val="20"/>
        </w:rPr>
        <w:t>doi:10.1007/s11695-014-1284-0. PMID: 24839191.</w:t>
      </w:r>
    </w:p>
    <w:p w14:paraId="3179ACC3"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16. Meneses E, Zagales I, Fanfan D, Zagales R, McKenney M, Elkbuli A. Surgical, metabolic,</w:t>
      </w:r>
      <w:r w:rsidR="001F364C" w:rsidRPr="00FE7693">
        <w:rPr>
          <w:rFonts w:ascii="Arial" w:hAnsi="Arial" w:cs="Arial"/>
          <w:sz w:val="20"/>
        </w:rPr>
        <w:t xml:space="preserve"> </w:t>
      </w:r>
      <w:r w:rsidRPr="00FE7693">
        <w:rPr>
          <w:rFonts w:ascii="Arial" w:hAnsi="Arial" w:cs="Arial"/>
          <w:sz w:val="20"/>
        </w:rPr>
        <w:t>and prognostic</w:t>
      </w:r>
      <w:r w:rsidR="001F364C" w:rsidRPr="00FE7693">
        <w:rPr>
          <w:rFonts w:ascii="Arial" w:hAnsi="Arial" w:cs="Arial"/>
          <w:sz w:val="20"/>
        </w:rPr>
        <w:t xml:space="preserve"> </w:t>
      </w:r>
      <w:r w:rsidRPr="00FE7693">
        <w:rPr>
          <w:rFonts w:ascii="Arial" w:hAnsi="Arial" w:cs="Arial"/>
          <w:sz w:val="20"/>
        </w:rPr>
        <w:t>outcomes for Roux-en-Y gastric bypass versus sleeve gastrectomy: a systematic review. Surg Obes Relat Dis. 2021 Dec;17(12):2097-2106. doi: 10.1016/j.soard.2021.06.020. Epub 2021 Jul 7. PMID: 34642101.</w:t>
      </w:r>
    </w:p>
    <w:p w14:paraId="23E59234"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17. Ohta</w:t>
      </w:r>
      <w:r w:rsidR="001F364C" w:rsidRPr="00FE7693">
        <w:rPr>
          <w:rFonts w:ascii="Arial" w:hAnsi="Arial" w:cs="Arial"/>
          <w:sz w:val="20"/>
        </w:rPr>
        <w:t xml:space="preserve"> </w:t>
      </w:r>
      <w:r w:rsidRPr="00FE7693">
        <w:rPr>
          <w:rFonts w:ascii="Arial" w:hAnsi="Arial" w:cs="Arial"/>
          <w:sz w:val="20"/>
        </w:rPr>
        <w:t>M.</w:t>
      </w:r>
      <w:r w:rsidR="001F364C" w:rsidRPr="00FE7693">
        <w:rPr>
          <w:rFonts w:ascii="Arial" w:hAnsi="Arial" w:cs="Arial"/>
          <w:sz w:val="20"/>
        </w:rPr>
        <w:t xml:space="preserve"> </w:t>
      </w:r>
      <w:r w:rsidRPr="00FE7693">
        <w:rPr>
          <w:rFonts w:ascii="Arial" w:hAnsi="Arial" w:cs="Arial"/>
          <w:sz w:val="20"/>
        </w:rPr>
        <w:t>et</w:t>
      </w:r>
      <w:r w:rsidR="001F364C" w:rsidRPr="00FE7693">
        <w:rPr>
          <w:rFonts w:ascii="Arial" w:hAnsi="Arial" w:cs="Arial"/>
          <w:sz w:val="20"/>
        </w:rPr>
        <w:t xml:space="preserve"> </w:t>
      </w:r>
      <w:r w:rsidRPr="00FE7693">
        <w:rPr>
          <w:rFonts w:ascii="Arial" w:hAnsi="Arial" w:cs="Arial"/>
          <w:sz w:val="20"/>
        </w:rPr>
        <w:t>al</w:t>
      </w:r>
      <w:r w:rsidR="001F364C" w:rsidRPr="00FE7693">
        <w:rPr>
          <w:rFonts w:ascii="Arial" w:hAnsi="Arial" w:cs="Arial"/>
          <w:sz w:val="20"/>
        </w:rPr>
        <w:t xml:space="preserve"> </w:t>
      </w:r>
      <w:r w:rsidRPr="00FE7693">
        <w:rPr>
          <w:rFonts w:ascii="Arial" w:hAnsi="Arial" w:cs="Arial"/>
          <w:sz w:val="20"/>
        </w:rPr>
        <w:t>(2019).</w:t>
      </w:r>
      <w:r w:rsidR="001F364C" w:rsidRPr="00FE7693">
        <w:rPr>
          <w:rFonts w:ascii="Arial" w:hAnsi="Arial" w:cs="Arial"/>
          <w:sz w:val="20"/>
        </w:rPr>
        <w:t xml:space="preserve"> </w:t>
      </w:r>
      <w:r w:rsidRPr="00FE7693">
        <w:rPr>
          <w:rFonts w:ascii="Arial" w:hAnsi="Arial" w:cs="Arial"/>
          <w:sz w:val="20"/>
        </w:rPr>
        <w:t>Bariatric/Metabolic</w:t>
      </w:r>
      <w:r w:rsidR="001F364C" w:rsidRPr="00FE7693">
        <w:rPr>
          <w:rFonts w:ascii="Arial" w:hAnsi="Arial" w:cs="Arial"/>
          <w:sz w:val="20"/>
        </w:rPr>
        <w:t xml:space="preserve"> </w:t>
      </w:r>
      <w:r w:rsidRPr="00FE7693">
        <w:rPr>
          <w:rFonts w:ascii="Arial" w:hAnsi="Arial" w:cs="Arial"/>
          <w:sz w:val="20"/>
        </w:rPr>
        <w:t>Surgery</w:t>
      </w:r>
      <w:r w:rsidR="001F364C" w:rsidRPr="00FE7693">
        <w:rPr>
          <w:rFonts w:ascii="Arial" w:hAnsi="Arial" w:cs="Arial"/>
          <w:sz w:val="20"/>
        </w:rPr>
        <w:t xml:space="preserve"> </w:t>
      </w:r>
      <w:r w:rsidRPr="00FE7693">
        <w:rPr>
          <w:rFonts w:ascii="Arial" w:hAnsi="Arial" w:cs="Arial"/>
          <w:sz w:val="20"/>
        </w:rPr>
        <w:t>in</w:t>
      </w:r>
      <w:r w:rsidR="001F364C" w:rsidRPr="00FE7693">
        <w:rPr>
          <w:rFonts w:ascii="Arial" w:hAnsi="Arial" w:cs="Arial"/>
          <w:sz w:val="20"/>
        </w:rPr>
        <w:t xml:space="preserve"> </w:t>
      </w:r>
      <w:r w:rsidRPr="00FE7693">
        <w:rPr>
          <w:rFonts w:ascii="Arial" w:hAnsi="Arial" w:cs="Arial"/>
          <w:sz w:val="20"/>
        </w:rPr>
        <w:t>the</w:t>
      </w:r>
      <w:r w:rsidR="001F364C" w:rsidRPr="00FE7693">
        <w:rPr>
          <w:rFonts w:ascii="Arial" w:hAnsi="Arial" w:cs="Arial"/>
          <w:sz w:val="20"/>
        </w:rPr>
        <w:t xml:space="preserve"> </w:t>
      </w:r>
      <w:r w:rsidRPr="00FE7693">
        <w:rPr>
          <w:rFonts w:ascii="Arial" w:hAnsi="Arial" w:cs="Arial"/>
          <w:sz w:val="20"/>
        </w:rPr>
        <w:t>Asia-Pacific</w:t>
      </w:r>
      <w:r w:rsidR="001F364C" w:rsidRPr="00FE7693">
        <w:rPr>
          <w:rFonts w:ascii="Arial" w:hAnsi="Arial" w:cs="Arial"/>
          <w:sz w:val="20"/>
        </w:rPr>
        <w:t xml:space="preserve"> </w:t>
      </w:r>
      <w:r w:rsidRPr="00FE7693">
        <w:rPr>
          <w:rFonts w:ascii="Arial" w:hAnsi="Arial" w:cs="Arial"/>
          <w:sz w:val="20"/>
        </w:rPr>
        <w:t>Region: APMBSS 2018 Survey. Obes Surg, 29(2), 534-541.</w:t>
      </w:r>
    </w:p>
    <w:p w14:paraId="392694CE"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18. Rutledge R. and Walsh T.R. (2005). Continued excellent results with the mini-gastric bypass: six-year study in 2,410 patients. Obesity surgery, 15(9), 1304-1308.</w:t>
      </w:r>
    </w:p>
    <w:p w14:paraId="18277A5B"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19. Sarela A.I. et al (2012). Long-term follow-up after laparoscopic sleeve gastrectomy:</w:t>
      </w:r>
      <w:r w:rsidR="003F3E0F" w:rsidRPr="00FE7693">
        <w:rPr>
          <w:rFonts w:ascii="Arial" w:hAnsi="Arial" w:cs="Arial"/>
          <w:sz w:val="20"/>
        </w:rPr>
        <w:t xml:space="preserve"> </w:t>
      </w:r>
      <w:r w:rsidRPr="00FE7693">
        <w:rPr>
          <w:rFonts w:ascii="Arial" w:hAnsi="Arial" w:cs="Arial"/>
          <w:sz w:val="20"/>
        </w:rPr>
        <w:t>8</w:t>
      </w:r>
      <w:r w:rsidR="001F364C" w:rsidRPr="00FE7693">
        <w:rPr>
          <w:rFonts w:ascii="Arial" w:hAnsi="Arial" w:cs="Arial"/>
          <w:sz w:val="20"/>
        </w:rPr>
        <w:t>-</w:t>
      </w:r>
      <w:r w:rsidRPr="00FE7693">
        <w:rPr>
          <w:rFonts w:ascii="Arial" w:hAnsi="Arial" w:cs="Arial"/>
          <w:sz w:val="20"/>
        </w:rPr>
        <w:t>9-year results. Surgery for Obesity and Related Diseases, 8(6), 679-684</w:t>
      </w:r>
    </w:p>
    <w:p w14:paraId="3D8DAE87"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20. Sean Wharton et al. Obesity in adults: a clinical practice guideline. CMAJ August 04,</w:t>
      </w:r>
      <w:r w:rsidR="003F3E0F" w:rsidRPr="00FE7693">
        <w:rPr>
          <w:rFonts w:ascii="Arial" w:hAnsi="Arial" w:cs="Arial"/>
          <w:sz w:val="20"/>
        </w:rPr>
        <w:t xml:space="preserve"> </w:t>
      </w:r>
      <w:r w:rsidRPr="00FE7693">
        <w:rPr>
          <w:rFonts w:ascii="Arial" w:hAnsi="Arial" w:cs="Arial"/>
          <w:sz w:val="20"/>
        </w:rPr>
        <w:t>2020; 192 (31) E875-E891. DOI: 7</w:t>
      </w:r>
    </w:p>
    <w:p w14:paraId="7F6D5717"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21. Scopinaro N. et al (1998). Biliopancreatic diversion. World journal of surgery, 22(9),</w:t>
      </w:r>
      <w:r w:rsidR="003F3E0F" w:rsidRPr="00FE7693">
        <w:rPr>
          <w:rFonts w:ascii="Arial" w:hAnsi="Arial" w:cs="Arial"/>
          <w:sz w:val="20"/>
        </w:rPr>
        <w:t xml:space="preserve"> </w:t>
      </w:r>
      <w:r w:rsidRPr="00FE7693">
        <w:rPr>
          <w:rFonts w:ascii="Arial" w:hAnsi="Arial" w:cs="Arial"/>
          <w:sz w:val="20"/>
        </w:rPr>
        <w:t>936-946</w:t>
      </w:r>
    </w:p>
    <w:p w14:paraId="20B31CB2"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22. Tackling obesity in ASEAN - Prevalence, impact, and guidance on interventions, The</w:t>
      </w:r>
      <w:r w:rsidR="003F3E0F" w:rsidRPr="00FE7693">
        <w:rPr>
          <w:rFonts w:ascii="Arial" w:hAnsi="Arial" w:cs="Arial"/>
          <w:sz w:val="20"/>
        </w:rPr>
        <w:t xml:space="preserve"> </w:t>
      </w:r>
      <w:r w:rsidRPr="00FE7693">
        <w:rPr>
          <w:rFonts w:ascii="Arial" w:hAnsi="Arial" w:cs="Arial"/>
          <w:sz w:val="20"/>
        </w:rPr>
        <w:t>Economist Intelligence Unit Limited 2017</w:t>
      </w:r>
    </w:p>
    <w:p w14:paraId="12609E93"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23. WHO-WPR</w:t>
      </w:r>
      <w:r w:rsidR="001F364C" w:rsidRPr="00FE7693">
        <w:rPr>
          <w:rFonts w:ascii="Arial" w:hAnsi="Arial" w:cs="Arial"/>
          <w:sz w:val="20"/>
        </w:rPr>
        <w:t xml:space="preserve"> </w:t>
      </w:r>
      <w:r w:rsidRPr="00FE7693">
        <w:rPr>
          <w:rFonts w:ascii="Arial" w:hAnsi="Arial" w:cs="Arial"/>
          <w:sz w:val="20"/>
        </w:rPr>
        <w:t>World</w:t>
      </w:r>
      <w:r w:rsidR="001F364C" w:rsidRPr="00FE7693">
        <w:rPr>
          <w:rFonts w:ascii="Arial" w:hAnsi="Arial" w:cs="Arial"/>
          <w:sz w:val="20"/>
        </w:rPr>
        <w:t xml:space="preserve"> </w:t>
      </w:r>
      <w:r w:rsidRPr="00FE7693">
        <w:rPr>
          <w:rFonts w:ascii="Arial" w:hAnsi="Arial" w:cs="Arial"/>
          <w:sz w:val="20"/>
        </w:rPr>
        <w:t>Health</w:t>
      </w:r>
      <w:r w:rsidR="001F364C" w:rsidRPr="00FE7693">
        <w:rPr>
          <w:rFonts w:ascii="Arial" w:hAnsi="Arial" w:cs="Arial"/>
          <w:sz w:val="20"/>
        </w:rPr>
        <w:t xml:space="preserve"> </w:t>
      </w:r>
      <w:r w:rsidRPr="00FE7693">
        <w:rPr>
          <w:rFonts w:ascii="Arial" w:hAnsi="Arial" w:cs="Arial"/>
          <w:sz w:val="20"/>
        </w:rPr>
        <w:t>Organization.</w:t>
      </w:r>
      <w:r w:rsidR="001F364C" w:rsidRPr="00FE7693">
        <w:rPr>
          <w:rFonts w:ascii="Arial" w:hAnsi="Arial" w:cs="Arial"/>
          <w:sz w:val="20"/>
        </w:rPr>
        <w:t xml:space="preserve"> </w:t>
      </w:r>
      <w:r w:rsidRPr="00FE7693">
        <w:rPr>
          <w:rFonts w:ascii="Arial" w:hAnsi="Arial" w:cs="Arial"/>
          <w:sz w:val="20"/>
        </w:rPr>
        <w:t>Regional</w:t>
      </w:r>
      <w:r w:rsidR="001F364C" w:rsidRPr="00FE7693">
        <w:rPr>
          <w:rFonts w:ascii="Arial" w:hAnsi="Arial" w:cs="Arial"/>
          <w:sz w:val="20"/>
        </w:rPr>
        <w:t xml:space="preserve"> </w:t>
      </w:r>
      <w:r w:rsidRPr="00FE7693">
        <w:rPr>
          <w:rFonts w:ascii="Arial" w:hAnsi="Arial" w:cs="Arial"/>
          <w:sz w:val="20"/>
        </w:rPr>
        <w:t>Office</w:t>
      </w:r>
      <w:r w:rsidR="001F364C" w:rsidRPr="00FE7693">
        <w:rPr>
          <w:rFonts w:ascii="Arial" w:hAnsi="Arial" w:cs="Arial"/>
          <w:sz w:val="20"/>
        </w:rPr>
        <w:t xml:space="preserve"> </w:t>
      </w:r>
      <w:r w:rsidRPr="00FE7693">
        <w:rPr>
          <w:rFonts w:ascii="Arial" w:hAnsi="Arial" w:cs="Arial"/>
          <w:sz w:val="20"/>
        </w:rPr>
        <w:t>for</w:t>
      </w:r>
      <w:r w:rsidR="001F364C" w:rsidRPr="00FE7693">
        <w:rPr>
          <w:rFonts w:ascii="Arial" w:hAnsi="Arial" w:cs="Arial"/>
          <w:sz w:val="20"/>
        </w:rPr>
        <w:t xml:space="preserve"> </w:t>
      </w:r>
      <w:r w:rsidRPr="00FE7693">
        <w:rPr>
          <w:rFonts w:ascii="Arial" w:hAnsi="Arial" w:cs="Arial"/>
          <w:sz w:val="20"/>
        </w:rPr>
        <w:t>the</w:t>
      </w:r>
      <w:r w:rsidR="001F364C" w:rsidRPr="00FE7693">
        <w:rPr>
          <w:rFonts w:ascii="Arial" w:hAnsi="Arial" w:cs="Arial"/>
          <w:sz w:val="20"/>
        </w:rPr>
        <w:t xml:space="preserve"> </w:t>
      </w:r>
      <w:r w:rsidRPr="00FE7693">
        <w:rPr>
          <w:rFonts w:ascii="Arial" w:hAnsi="Arial" w:cs="Arial"/>
          <w:sz w:val="20"/>
        </w:rPr>
        <w:t>Western Pacific. (2000). The</w:t>
      </w:r>
      <w:r w:rsidR="001F364C" w:rsidRPr="00FE7693">
        <w:rPr>
          <w:rFonts w:ascii="Arial" w:hAnsi="Arial" w:cs="Arial"/>
          <w:sz w:val="20"/>
        </w:rPr>
        <w:t xml:space="preserve"> </w:t>
      </w:r>
      <w:r w:rsidRPr="00FE7693">
        <w:rPr>
          <w:rFonts w:ascii="Arial" w:hAnsi="Arial" w:cs="Arial"/>
          <w:sz w:val="20"/>
        </w:rPr>
        <w:t>Asia-Pacific</w:t>
      </w:r>
      <w:r w:rsidR="001F364C" w:rsidRPr="00FE7693">
        <w:rPr>
          <w:rFonts w:ascii="Arial" w:hAnsi="Arial" w:cs="Arial"/>
          <w:sz w:val="20"/>
        </w:rPr>
        <w:t xml:space="preserve"> </w:t>
      </w:r>
      <w:r w:rsidRPr="00FE7693">
        <w:rPr>
          <w:rFonts w:ascii="Arial" w:hAnsi="Arial" w:cs="Arial"/>
          <w:sz w:val="20"/>
        </w:rPr>
        <w:t>perspective</w:t>
      </w:r>
      <w:r w:rsidR="001F364C" w:rsidRPr="00FE7693">
        <w:rPr>
          <w:rFonts w:ascii="Arial" w:hAnsi="Arial" w:cs="Arial"/>
          <w:sz w:val="20"/>
        </w:rPr>
        <w:t xml:space="preserve"> </w:t>
      </w:r>
      <w:r w:rsidRPr="00FE7693">
        <w:rPr>
          <w:rFonts w:ascii="Arial" w:hAnsi="Arial" w:cs="Arial"/>
          <w:sz w:val="20"/>
        </w:rPr>
        <w:t>:</w:t>
      </w:r>
      <w:r w:rsidR="001F364C" w:rsidRPr="00FE7693">
        <w:rPr>
          <w:rFonts w:ascii="Arial" w:hAnsi="Arial" w:cs="Arial"/>
          <w:sz w:val="20"/>
        </w:rPr>
        <w:t xml:space="preserve"> </w:t>
      </w:r>
      <w:r w:rsidRPr="00FE7693">
        <w:rPr>
          <w:rFonts w:ascii="Arial" w:hAnsi="Arial" w:cs="Arial"/>
          <w:sz w:val="20"/>
        </w:rPr>
        <w:t>redefining</w:t>
      </w:r>
      <w:r w:rsidR="001F364C" w:rsidRPr="00FE7693">
        <w:rPr>
          <w:rFonts w:ascii="Arial" w:hAnsi="Arial" w:cs="Arial"/>
          <w:sz w:val="20"/>
        </w:rPr>
        <w:t xml:space="preserve"> </w:t>
      </w:r>
      <w:r w:rsidRPr="00FE7693">
        <w:rPr>
          <w:rFonts w:ascii="Arial" w:hAnsi="Arial" w:cs="Arial"/>
          <w:sz w:val="20"/>
        </w:rPr>
        <w:t>obesity</w:t>
      </w:r>
      <w:r w:rsidR="001F364C" w:rsidRPr="00FE7693">
        <w:rPr>
          <w:rFonts w:ascii="Arial" w:hAnsi="Arial" w:cs="Arial"/>
          <w:sz w:val="20"/>
        </w:rPr>
        <w:t xml:space="preserve"> </w:t>
      </w:r>
      <w:r w:rsidRPr="00FE7693">
        <w:rPr>
          <w:rFonts w:ascii="Arial" w:hAnsi="Arial" w:cs="Arial"/>
          <w:sz w:val="20"/>
        </w:rPr>
        <w:t>and</w:t>
      </w:r>
      <w:r w:rsidR="001F364C" w:rsidRPr="00FE7693">
        <w:rPr>
          <w:rFonts w:ascii="Arial" w:hAnsi="Arial" w:cs="Arial"/>
          <w:sz w:val="20"/>
        </w:rPr>
        <w:t xml:space="preserve"> </w:t>
      </w:r>
      <w:r w:rsidRPr="00FE7693">
        <w:rPr>
          <w:rFonts w:ascii="Arial" w:hAnsi="Arial" w:cs="Arial"/>
          <w:sz w:val="20"/>
        </w:rPr>
        <w:t>its treatment. Sydney : Health Communications Australia. 6</w:t>
      </w:r>
    </w:p>
    <w:p w14:paraId="1FB032F0" w14:textId="77777777" w:rsidR="00F02947" w:rsidRPr="00FE7693" w:rsidRDefault="00F02947" w:rsidP="00FE7693">
      <w:pPr>
        <w:widowControl w:val="0"/>
        <w:autoSpaceDE w:val="0"/>
        <w:autoSpaceDN w:val="0"/>
        <w:adjustRightInd w:val="0"/>
        <w:spacing w:before="120"/>
        <w:rPr>
          <w:rFonts w:ascii="Arial" w:hAnsi="Arial" w:cs="Arial"/>
          <w:sz w:val="20"/>
        </w:rPr>
      </w:pPr>
      <w:r w:rsidRPr="00FE7693">
        <w:rPr>
          <w:rFonts w:ascii="Arial" w:hAnsi="Arial" w:cs="Arial"/>
          <w:sz w:val="20"/>
        </w:rPr>
        <w:t>24. World Health Organization. Report of a WHO Consultation on Obesity. June 1997.</w:t>
      </w:r>
      <w:r w:rsidR="003F3E0F" w:rsidRPr="00FE7693">
        <w:rPr>
          <w:rFonts w:ascii="Arial" w:hAnsi="Arial" w:cs="Arial"/>
          <w:sz w:val="20"/>
        </w:rPr>
        <w:t xml:space="preserve"> </w:t>
      </w:r>
      <w:r w:rsidRPr="00FE7693">
        <w:rPr>
          <w:rFonts w:ascii="Arial" w:hAnsi="Arial" w:cs="Arial"/>
          <w:sz w:val="20"/>
        </w:rPr>
        <w:t>Available at: http://whqlibdoc.who.int/hq/1998/WHO_NUT_NCD_98.1_(p1-</w:t>
      </w:r>
      <w:r w:rsidR="003F3E0F" w:rsidRPr="00FE7693">
        <w:rPr>
          <w:rFonts w:ascii="Arial" w:hAnsi="Arial" w:cs="Arial"/>
          <w:sz w:val="20"/>
        </w:rPr>
        <w:t xml:space="preserve"> </w:t>
      </w:r>
      <w:r w:rsidRPr="00FE7693">
        <w:rPr>
          <w:rFonts w:ascii="Arial" w:hAnsi="Arial" w:cs="Arial"/>
          <w:sz w:val="20"/>
        </w:rPr>
        <w:t>158).pdf</w:t>
      </w:r>
    </w:p>
    <w:p w14:paraId="459EEA3E" w14:textId="77777777" w:rsidR="00FE7693" w:rsidRPr="00FE7693" w:rsidRDefault="00FE7693" w:rsidP="00FE7693">
      <w:pPr>
        <w:spacing w:before="120"/>
        <w:rPr>
          <w:rFonts w:ascii="Arial" w:hAnsi="Arial" w:cs="Arial"/>
          <w:b/>
          <w:sz w:val="20"/>
          <w:szCs w:val="20"/>
        </w:rPr>
      </w:pPr>
    </w:p>
    <w:sectPr w:rsidR="00FE7693" w:rsidRPr="00FE7693" w:rsidSect="001F364C">
      <w:pgSz w:w="12240" w:h="15840"/>
      <w:pgMar w:top="1440" w:right="1800" w:bottom="1440" w:left="1800" w:header="0" w:footer="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savePreviewPicture/>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084"/>
    <w:rsid w:val="00026173"/>
    <w:rsid w:val="00160822"/>
    <w:rsid w:val="001B3598"/>
    <w:rsid w:val="001F364C"/>
    <w:rsid w:val="001F5835"/>
    <w:rsid w:val="00267F00"/>
    <w:rsid w:val="0028508D"/>
    <w:rsid w:val="002D153D"/>
    <w:rsid w:val="003461B7"/>
    <w:rsid w:val="003C26B0"/>
    <w:rsid w:val="003F3E0F"/>
    <w:rsid w:val="00411C86"/>
    <w:rsid w:val="00430D36"/>
    <w:rsid w:val="004F779C"/>
    <w:rsid w:val="0055464D"/>
    <w:rsid w:val="005965FD"/>
    <w:rsid w:val="00766084"/>
    <w:rsid w:val="007B0B99"/>
    <w:rsid w:val="007E63C9"/>
    <w:rsid w:val="00814E27"/>
    <w:rsid w:val="00917DB4"/>
    <w:rsid w:val="00940AB7"/>
    <w:rsid w:val="0094579C"/>
    <w:rsid w:val="009C3A61"/>
    <w:rsid w:val="00A8222B"/>
    <w:rsid w:val="00B20140"/>
    <w:rsid w:val="00B20509"/>
    <w:rsid w:val="00B54572"/>
    <w:rsid w:val="00CA55A7"/>
    <w:rsid w:val="00CC336F"/>
    <w:rsid w:val="00D672AB"/>
    <w:rsid w:val="00D97FF6"/>
    <w:rsid w:val="00ED1D1A"/>
    <w:rsid w:val="00F02947"/>
    <w:rsid w:val="00FE7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CEE2274"/>
  <w15:chartTrackingRefBased/>
  <w15:docId w15:val="{2EFD132D-A863-483C-9E2C-C3100C2BA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4F7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link w:val="DefaultParagraphFont"/>
    <w:autoRedefine/>
    <w:rsid w:val="004F779C"/>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7514</Words>
  <Characters>42835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2892_QD-BYT_23102022071253.pdf</vt:lpstr>
    </vt:vector>
  </TitlesOfParts>
  <Company>HOME</Company>
  <LinksUpToDate>false</LinksUpToDate>
  <CharactersWithSpaces>50249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2892_QD-BYT_23102022071253.pdf</dc:title>
  <dc:subject/>
  <dc:creator>DELL</dc:creator>
  <cp:keywords/>
  <dc:description>Document was created by {applicationname}, version: {version}</dc:description>
  <cp:lastModifiedBy>VinasecoPc</cp:lastModifiedBy>
  <cp:revision>2</cp:revision>
  <dcterms:created xsi:type="dcterms:W3CDTF">2022-10-24T07:35:00Z</dcterms:created>
  <dcterms:modified xsi:type="dcterms:W3CDTF">2022-10-24T07:35:00Z</dcterms:modified>
</cp:coreProperties>
</file>