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5" w:type="dxa"/>
        <w:tblCellMar>
          <w:left w:w="0" w:type="dxa"/>
          <w:right w:w="0" w:type="dxa"/>
        </w:tblCellMar>
        <w:tblLook w:val="04A0" w:firstRow="1" w:lastRow="0" w:firstColumn="1" w:lastColumn="0" w:noHBand="0" w:noVBand="1"/>
      </w:tblPr>
      <w:tblGrid>
        <w:gridCol w:w="3677"/>
        <w:gridCol w:w="6246"/>
      </w:tblGrid>
      <w:tr w:rsidR="00031DB0" w:rsidRPr="00031DB0" w:rsidTr="00031DB0">
        <w:tc>
          <w:tcPr>
            <w:tcW w:w="3677" w:type="dxa"/>
            <w:tcMar>
              <w:top w:w="0" w:type="dxa"/>
              <w:left w:w="108" w:type="dxa"/>
              <w:bottom w:w="0" w:type="dxa"/>
              <w:right w:w="108" w:type="dxa"/>
            </w:tcMar>
            <w:hideMark/>
          </w:tcPr>
          <w:p w:rsidR="00031DB0" w:rsidRPr="00031DB0" w:rsidRDefault="00031DB0" w:rsidP="00031DB0">
            <w:pPr>
              <w:spacing w:before="100" w:beforeAutospacing="1" w:line="240" w:lineRule="auto"/>
              <w:jc w:val="center"/>
              <w:rPr>
                <w:rFonts w:eastAsia="Times New Roman" w:cs="Times New Roman"/>
                <w:color w:val="222222"/>
                <w:szCs w:val="26"/>
              </w:rPr>
            </w:pPr>
            <w:bookmarkStart w:id="0" w:name="_GoBack"/>
            <w:r w:rsidRPr="00031DB0">
              <w:rPr>
                <w:rFonts w:eastAsia="Times New Roman" w:cs="Times New Roman"/>
                <w:b/>
                <w:bCs/>
                <w:color w:val="222222"/>
                <w:szCs w:val="26"/>
              </w:rPr>
              <w:t>THỦ TƯỚNG CHÍNH PHỦ</w:t>
            </w:r>
          </w:p>
          <w:p w:rsidR="00031DB0" w:rsidRPr="00031DB0" w:rsidRDefault="00031DB0" w:rsidP="00031DB0">
            <w:pPr>
              <w:spacing w:before="100" w:beforeAutospacing="1" w:line="240" w:lineRule="auto"/>
              <w:jc w:val="center"/>
              <w:rPr>
                <w:rFonts w:eastAsia="Times New Roman" w:cs="Times New Roman"/>
                <w:color w:val="222222"/>
                <w:szCs w:val="26"/>
              </w:rPr>
            </w:pPr>
            <w:r w:rsidRPr="00031DB0">
              <w:rPr>
                <w:rFonts w:eastAsia="Times New Roman" w:cs="Times New Roman"/>
                <w:b/>
                <w:bCs/>
                <w:color w:val="222222"/>
                <w:szCs w:val="26"/>
                <w:vertAlign w:val="superscript"/>
              </w:rPr>
              <w:t>__________</w:t>
            </w:r>
          </w:p>
          <w:p w:rsidR="00031DB0" w:rsidRPr="00031DB0" w:rsidRDefault="00031DB0" w:rsidP="00031DB0">
            <w:pPr>
              <w:spacing w:before="100" w:beforeAutospacing="1" w:line="240" w:lineRule="auto"/>
              <w:ind w:left="324" w:hanging="324"/>
              <w:jc w:val="center"/>
              <w:rPr>
                <w:rFonts w:eastAsia="Times New Roman" w:cs="Times New Roman"/>
                <w:color w:val="222222"/>
                <w:szCs w:val="26"/>
              </w:rPr>
            </w:pPr>
            <w:r w:rsidRPr="00031DB0">
              <w:rPr>
                <w:rFonts w:eastAsia="Times New Roman" w:cs="Times New Roman"/>
                <w:color w:val="222222"/>
                <w:szCs w:val="26"/>
              </w:rPr>
              <w:t> </w:t>
            </w:r>
          </w:p>
          <w:p w:rsidR="00031DB0" w:rsidRPr="00031DB0" w:rsidRDefault="00031DB0" w:rsidP="00031DB0">
            <w:pPr>
              <w:spacing w:before="100" w:beforeAutospacing="1" w:line="240" w:lineRule="auto"/>
              <w:jc w:val="center"/>
              <w:rPr>
                <w:rFonts w:eastAsia="Times New Roman" w:cs="Times New Roman"/>
                <w:color w:val="222222"/>
                <w:sz w:val="24"/>
                <w:szCs w:val="24"/>
              </w:rPr>
            </w:pPr>
            <w:r w:rsidRPr="00031DB0">
              <w:rPr>
                <w:rFonts w:eastAsia="Times New Roman" w:cs="Times New Roman"/>
                <w:color w:val="222222"/>
                <w:sz w:val="24"/>
                <w:szCs w:val="24"/>
              </w:rPr>
              <w:t>Số: 20/CT-TTg</w:t>
            </w:r>
          </w:p>
        </w:tc>
        <w:tc>
          <w:tcPr>
            <w:tcW w:w="6246" w:type="dxa"/>
            <w:tcMar>
              <w:top w:w="0" w:type="dxa"/>
              <w:left w:w="108" w:type="dxa"/>
              <w:bottom w:w="0" w:type="dxa"/>
              <w:right w:w="108" w:type="dxa"/>
            </w:tcMar>
            <w:hideMark/>
          </w:tcPr>
          <w:p w:rsidR="00031DB0" w:rsidRPr="00031DB0" w:rsidRDefault="00031DB0" w:rsidP="00031DB0">
            <w:pPr>
              <w:spacing w:before="100" w:beforeAutospacing="1" w:line="240" w:lineRule="auto"/>
              <w:jc w:val="center"/>
              <w:rPr>
                <w:rFonts w:eastAsia="Times New Roman" w:cs="Times New Roman"/>
                <w:color w:val="222222"/>
                <w:szCs w:val="26"/>
              </w:rPr>
            </w:pPr>
            <w:r w:rsidRPr="00031DB0">
              <w:rPr>
                <w:rFonts w:eastAsia="Times New Roman" w:cs="Times New Roman"/>
                <w:b/>
                <w:bCs/>
                <w:color w:val="000000"/>
                <w:szCs w:val="26"/>
              </w:rPr>
              <w:t>CỘNG HÒA XÃ HỘI CHỦ NGHĨA VIỆT NAM</w:t>
            </w:r>
          </w:p>
          <w:p w:rsidR="00031DB0" w:rsidRPr="00031DB0" w:rsidRDefault="00031DB0" w:rsidP="00031DB0">
            <w:pPr>
              <w:spacing w:before="100" w:beforeAutospacing="1" w:line="240" w:lineRule="auto"/>
              <w:jc w:val="center"/>
              <w:rPr>
                <w:rFonts w:eastAsia="Times New Roman" w:cs="Times New Roman"/>
                <w:color w:val="222222"/>
                <w:szCs w:val="26"/>
              </w:rPr>
            </w:pPr>
            <w:r w:rsidRPr="00031DB0">
              <w:rPr>
                <w:rFonts w:eastAsia="Times New Roman" w:cs="Times New Roman"/>
                <w:b/>
                <w:bCs/>
                <w:color w:val="000000"/>
                <w:szCs w:val="26"/>
              </w:rPr>
              <w:t>Độc lập – Tự do – Hạnh phúc</w:t>
            </w:r>
          </w:p>
          <w:p w:rsidR="00031DB0" w:rsidRPr="00031DB0" w:rsidRDefault="00031DB0" w:rsidP="00031DB0">
            <w:pPr>
              <w:spacing w:before="100" w:beforeAutospacing="1" w:line="240" w:lineRule="auto"/>
              <w:jc w:val="center"/>
              <w:rPr>
                <w:rFonts w:eastAsia="Times New Roman" w:cs="Times New Roman"/>
                <w:color w:val="222222"/>
                <w:szCs w:val="26"/>
              </w:rPr>
            </w:pPr>
            <w:r w:rsidRPr="00031DB0">
              <w:rPr>
                <w:rFonts w:eastAsia="Times New Roman" w:cs="Times New Roman"/>
                <w:b/>
                <w:bCs/>
                <w:color w:val="222222"/>
                <w:szCs w:val="26"/>
                <w:vertAlign w:val="superscript"/>
              </w:rPr>
              <w:t>___________________</w:t>
            </w:r>
          </w:p>
          <w:p w:rsidR="00031DB0" w:rsidRPr="00031DB0" w:rsidRDefault="00031DB0" w:rsidP="00031DB0">
            <w:pPr>
              <w:spacing w:before="100" w:beforeAutospacing="1" w:line="240" w:lineRule="auto"/>
              <w:jc w:val="right"/>
              <w:rPr>
                <w:rFonts w:eastAsia="Times New Roman" w:cs="Times New Roman"/>
                <w:color w:val="222222"/>
                <w:szCs w:val="26"/>
              </w:rPr>
            </w:pPr>
            <w:r w:rsidRPr="00031DB0">
              <w:rPr>
                <w:rFonts w:eastAsia="Times New Roman" w:cs="Times New Roman"/>
                <w:i/>
                <w:iCs/>
                <w:color w:val="222222"/>
                <w:szCs w:val="26"/>
              </w:rPr>
              <w:t>Hà Nội, ngày 08 tháng 6 năm 2023</w:t>
            </w:r>
          </w:p>
        </w:tc>
      </w:tr>
    </w:tbl>
    <w:p w:rsidR="00031DB0" w:rsidRPr="00031DB0" w:rsidRDefault="00031DB0" w:rsidP="00031DB0">
      <w:pPr>
        <w:spacing w:before="100" w:beforeAutospacing="1" w:line="240" w:lineRule="auto"/>
        <w:rPr>
          <w:rFonts w:eastAsia="Times New Roman" w:cs="Times New Roman"/>
          <w:color w:val="222222"/>
          <w:szCs w:val="26"/>
        </w:rPr>
      </w:pPr>
      <w:r w:rsidRPr="00031DB0">
        <w:rPr>
          <w:rFonts w:eastAsia="Times New Roman" w:cs="Times New Roman"/>
          <w:color w:val="222222"/>
          <w:szCs w:val="26"/>
        </w:rPr>
        <w:t> </w:t>
      </w:r>
    </w:p>
    <w:p w:rsidR="00031DB0" w:rsidRPr="00031DB0" w:rsidRDefault="00031DB0" w:rsidP="00031DB0">
      <w:pPr>
        <w:spacing w:before="100" w:beforeAutospacing="1" w:line="240" w:lineRule="auto"/>
        <w:rPr>
          <w:rFonts w:eastAsia="Times New Roman" w:cs="Times New Roman"/>
          <w:color w:val="222222"/>
          <w:szCs w:val="26"/>
        </w:rPr>
      </w:pPr>
      <w:r w:rsidRPr="00031DB0">
        <w:rPr>
          <w:rFonts w:eastAsia="Times New Roman" w:cs="Times New Roman"/>
          <w:color w:val="222222"/>
          <w:szCs w:val="26"/>
        </w:rPr>
        <w:t> </w:t>
      </w:r>
    </w:p>
    <w:p w:rsidR="00031DB0" w:rsidRPr="00031DB0" w:rsidRDefault="00031DB0" w:rsidP="00031DB0">
      <w:pPr>
        <w:spacing w:before="100" w:beforeAutospacing="1" w:line="240" w:lineRule="auto"/>
        <w:jc w:val="center"/>
        <w:rPr>
          <w:rFonts w:eastAsia="Times New Roman" w:cs="Times New Roman"/>
          <w:color w:val="222222"/>
          <w:szCs w:val="26"/>
        </w:rPr>
      </w:pPr>
      <w:r w:rsidRPr="00031DB0">
        <w:rPr>
          <w:rFonts w:eastAsia="Times New Roman" w:cs="Times New Roman"/>
          <w:b/>
          <w:bCs/>
          <w:color w:val="222222"/>
          <w:szCs w:val="26"/>
        </w:rPr>
        <w:t>CHỈ THỊ</w:t>
      </w:r>
    </w:p>
    <w:p w:rsidR="00031DB0" w:rsidRPr="00031DB0" w:rsidRDefault="00031DB0" w:rsidP="00031DB0">
      <w:pPr>
        <w:spacing w:before="100" w:beforeAutospacing="1" w:line="240" w:lineRule="auto"/>
        <w:jc w:val="center"/>
        <w:rPr>
          <w:rFonts w:eastAsia="Times New Roman" w:cs="Times New Roman"/>
          <w:color w:val="222222"/>
          <w:szCs w:val="26"/>
        </w:rPr>
      </w:pPr>
      <w:r w:rsidRPr="00031DB0">
        <w:rPr>
          <w:rFonts w:eastAsia="Times New Roman" w:cs="Times New Roman"/>
          <w:b/>
          <w:bCs/>
          <w:color w:val="222222"/>
          <w:szCs w:val="26"/>
        </w:rPr>
        <w:t xml:space="preserve">Về việc tăng cường tiết kiệm điện giai đoạn 2023 - </w:t>
      </w:r>
      <w:proofErr w:type="gramStart"/>
      <w:r w:rsidRPr="00031DB0">
        <w:rPr>
          <w:rFonts w:eastAsia="Times New Roman" w:cs="Times New Roman"/>
          <w:b/>
          <w:bCs/>
          <w:color w:val="222222"/>
          <w:szCs w:val="26"/>
        </w:rPr>
        <w:t>2025  và</w:t>
      </w:r>
      <w:proofErr w:type="gramEnd"/>
      <w:r w:rsidRPr="00031DB0">
        <w:rPr>
          <w:rFonts w:eastAsia="Times New Roman" w:cs="Times New Roman"/>
          <w:b/>
          <w:bCs/>
          <w:color w:val="222222"/>
          <w:szCs w:val="26"/>
        </w:rPr>
        <w:t xml:space="preserve"> các năm tiếp theo</w:t>
      </w:r>
    </w:p>
    <w:p w:rsidR="00031DB0" w:rsidRPr="00031DB0" w:rsidRDefault="00031DB0" w:rsidP="00031DB0">
      <w:pPr>
        <w:spacing w:before="100" w:beforeAutospacing="1" w:after="100" w:afterAutospacing="1" w:line="240" w:lineRule="auto"/>
        <w:jc w:val="center"/>
        <w:rPr>
          <w:rFonts w:eastAsia="Times New Roman" w:cs="Times New Roman"/>
          <w:color w:val="222222"/>
          <w:szCs w:val="26"/>
        </w:rPr>
      </w:pPr>
      <w:r w:rsidRPr="00031DB0">
        <w:rPr>
          <w:rFonts w:eastAsia="Times New Roman" w:cs="Times New Roman"/>
          <w:color w:val="222222"/>
          <w:szCs w:val="26"/>
          <w:vertAlign w:val="superscript"/>
        </w:rPr>
        <w:t>_________________</w:t>
      </w:r>
    </w:p>
    <w:p w:rsidR="00031DB0" w:rsidRPr="00031DB0" w:rsidRDefault="00031DB0" w:rsidP="00031DB0">
      <w:pPr>
        <w:shd w:val="clear" w:color="auto" w:fill="FFFFFF"/>
        <w:spacing w:before="100" w:beforeAutospacing="1" w:line="240" w:lineRule="auto"/>
        <w:jc w:val="both"/>
        <w:rPr>
          <w:rFonts w:eastAsia="Times New Roman" w:cs="Times New Roman"/>
          <w:color w:val="222222"/>
          <w:szCs w:val="26"/>
        </w:rPr>
      </w:pPr>
      <w:r w:rsidRPr="00031DB0">
        <w:rPr>
          <w:rFonts w:eastAsia="Times New Roman" w:cs="Times New Roman"/>
          <w:color w:val="222222"/>
          <w:szCs w:val="26"/>
        </w:rPr>
        <w:t> </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Trong nhiều năm qua, việc cung ứng điện cho nền kinh tế luôn được đảm bảo, làm nền tảng vững chắc cho phát triển kinh tế, thu hút đầu tư, giữ vững an ninh quốc phòng, ổn định xã hội. Tuy nhiên, xét bối cảnh nguồn cung ứng điện giai đoạn 2023 - 2025 và các năm tiếp theo sẽ gặp nhiều thách thức do: (i) tình trạng thủy văn đảm bảo mức phát điện của các nhà máy thủy điện trên hệ thống sông diễn biến theo chiều hướng bất lợi bởi biến đổi khí hậu; (ii) sự phụ thuộc ngày càng sâu rộng vào năng lượng sơ cấp nhập khẩu; (iii) nguồn điện gió, điện mặt trời và các nguồn năng lượng tái tạo khác vẫn còn hạn chế; (iv) nhiệt điện gặp nhiều khó khăn trong mở rộng đầu tư, trong khi đó, nhu cầu điện vẫn tiếp tục tăng ở mức cao, bình quân khoảng 8,5%/năm, cao hơn tốc độ tăng trưởng kinh tế, thì việc sử dụng điện tiết kiệm và hiệu quả phải được xem là giải pháp quan trọng, cấp bách nhằm tiếp tục duy trì ổn định an ninh năng lượng, phát triển bền vững, tăng trưởng kinh tế đất nước trong thời gian tới.</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Trong bối cảnh đó, Thủ tướng Chính phủ yêu cầu:</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Trong giai đoạn 2023 - 2025 và các năm tiếp theo, cả nước phải phấn đấu hằng năm tiết kiệm tối thiểu 2,0% tổng điện năng tiêu thụ.</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Giảm tổn thất điện năng trên toàn hệ thống điện dưới 6% vào năm 2025.</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Giảm bớt công suất phụ tải đỉnh của hệ thống điện quốc gia thông qua thực hiện các chương trình quản lý nhu cầu điện (DSM) và điều chỉnh phụ tải điện (DR), ít nhất 1.500 MW vào năm 2025.</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Phấn đấu đến năm 2030 có 50% các tòa nhà công sở và 50% nhà dân sử dụng điện mặt trời mái nhà tự sản, tự tiêu (phục vụ tiêu thụ tại chỗ, không bán điện vào hệ thống điện quốc gia).</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pacing w:val="-8"/>
          <w:szCs w:val="26"/>
        </w:rPr>
        <w:t>- Đến hết năm 2025, phấn đấu 100% chiếu sáng đường phố sử dụng đèn LED</w:t>
      </w:r>
      <w:r w:rsidRPr="00031DB0">
        <w:rPr>
          <w:rFonts w:eastAsia="Times New Roman" w:cs="Times New Roman"/>
          <w:color w:val="000000"/>
          <w:spacing w:val="-4"/>
          <w:szCs w:val="26"/>
        </w:rPr>
        <w:t>.</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lastRenderedPageBreak/>
        <w:t>Để đạt được mục tiêu này, yêu cầu mọi tổ chức, cá nhân nghiêm túc, quyết liệt thực hiện triển khai việc tiết kiệm điện, cụ thể như sau:</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1. Các bộ, cơ quan ngang bộ, cơ quan thuộc Chính phủ, Ủy ban nhân dân các tỉnh, thành phố trực thuộc trung ương, các doanh nghiệp và các tổ chức đoàn thể - xã hội thực hiện một số giải pháp sau:</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a) Thực hiện tiết kiệm điện tại cơ quan, công sở:</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Phối hợp với công ty điện lực tại địa phương xây dựng và tổ chức triển khai kế hoạch tiết kiệm điện cho đơn vị mình, đảm bảo hằng năm tối thiểu tiết kiệm 5,0% tổng điện năng tiêu thụ trong năm.</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Xây dựng, ban hành và tổ chức thực hiện hiệu quả nội quy về tiết kiệm điện, các quy định về sử dụng, bảo dưỡng và sửa chữa các trang thiết bị tiêu thụ điện tại cơ quan, đơn vị.</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000000"/>
          <w:szCs w:val="26"/>
        </w:rPr>
      </w:pPr>
      <w:r w:rsidRPr="00031DB0">
        <w:rPr>
          <w:rFonts w:eastAsia="Times New Roman" w:cs="Times New Roman"/>
          <w:color w:val="000000"/>
          <w:szCs w:val="26"/>
        </w:rPr>
        <w:t>- Tăng cường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Đôn đốc, rà soát và thường xuyên kiểm tra việc thực hiện nội quy và các quy định hiện hành về tiết kiệm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b) Thực hiện tiết kiệm điện trong chiếu sáng công cộng, chiếu sáng cho mục đích quảng cáo, trang trí ngoài trời:</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trên.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Đẩy nhanh quá trình thực hiện tự động hóa chiếu sáng theo khung thời gian và điều kiện thời tiết của các công trình chiếu sáng công cộng.</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w:t>
      </w:r>
      <w:r w:rsidRPr="00031DB0">
        <w:rPr>
          <w:rFonts w:eastAsia="Times New Roman" w:cs="Times New Roman"/>
          <w:color w:val="000000"/>
          <w:spacing w:val="2"/>
          <w:szCs w:val="26"/>
        </w:rPr>
        <w:t>ty điện lực tại địa phương; tuân thủ các quy định về chiếu sáng tiết kiệm và hiệu quả, sẵn sàng cắt, giảm nhu cầu sử dụng điện khi có thông báo của công ty điện lực tại địa phương trong trường hợp xảy ra thiếu điện; phối hợp với công ty điện lực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c) Thực hiện tiết kiệm điện tại các hộ gia đình:</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pacing w:val="2"/>
          <w:szCs w:val="26"/>
        </w:rP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pacing w:val="-2"/>
          <w:szCs w:val="26"/>
        </w:rPr>
        <w:t>- Khuyến khích lắp đặt và sử dụng hệ thống điện mặt trời trên mái nhà tự </w:t>
      </w:r>
      <w:r w:rsidRPr="00031DB0">
        <w:rPr>
          <w:rFonts w:eastAsia="Times New Roman" w:cs="Times New Roman"/>
          <w:color w:val="000000"/>
          <w:spacing w:val="-6"/>
          <w:szCs w:val="26"/>
        </w:rPr>
        <w:t>dùng cho nhu cầu sử dụng tại chỗ, hệ thống đun nước nóng từ năng lượng mặt trời</w:t>
      </w:r>
      <w:r w:rsidRPr="00031DB0">
        <w:rPr>
          <w:rFonts w:eastAsia="Times New Roman" w:cs="Times New Roman"/>
          <w:color w:val="000000"/>
          <w:spacing w:val="-2"/>
          <w:szCs w:val="26"/>
        </w:rPr>
        <w:t>.</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pacing w:val="-2"/>
          <w:szCs w:val="26"/>
        </w:rPr>
        <w:t>d) Thực hiện tiết kiệm điện tại các cơ sở kinh doanh thương mại và dịch vụ:</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Xây dựng và phổ biến thực hiện nội quy tiết kiệm điện của cơ sở cho khách hàng.</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Xây dựng kế hoạch, kịch bản phối hợp với các công ty điện lực trong cắt giảm phụ tải.</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Triển khai chương trình khuyến khích sử dụng nguồn năng lượng tại chỗ bằng các nguồn năng lượng tái tạo, các thiết bị điện sử dụng năng lượng tái tạo.</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đ) Thực hiện tiết kiệm điện tại doanh nghiệp sản xuất:</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pacing w:val="-6"/>
          <w:szCs w:val="26"/>
        </w:rPr>
        <w:t>- Đẩy mạnh triển khai thực hiện Quyết định số 279/QĐ-TTg ngày 08 tháng 3</w:t>
      </w:r>
      <w:r w:rsidRPr="00031DB0">
        <w:rPr>
          <w:rFonts w:eastAsia="Times New Roman" w:cs="Times New Roman"/>
          <w:color w:val="000000"/>
          <w:szCs w:val="26"/>
        </w:rPr>
        <w:t> năm 2018 của Thủ tướng Chính phủ về Chương trình quốc gia về quản lý nhu cầu điện giai đoạn 2018 - 2020, định hướng đến năm 2030.</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Xây dựng chương trình huy động hệ thống phát điện dự phòng trong trường hợp xảy ra thiếu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pacing w:val="4"/>
          <w:szCs w:val="26"/>
        </w:rP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Lắp đặt, tích hợp các nguồn năng lượng tái tạo như năng lượng mặt trời, năng lượng gió vào hệ thống năng lượng nội bộ; ưu tiên sử dụng các thiết bị được dán nhãn năng lượng hiệu suất cao.</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Các cơ sở sử dụng năng lượng có điện năng tiêu thụ từ 01 triệu kWh/năm trở lên phải tiết kiệm ít nhất 2% điện năng tiêuthụ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2. Bộ Công Thương có trách nhiệm:</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Chủ trì, phối hợp với các bộ, ngành, địa phương tổ chức theo dõi, đôn đốc, kiểm tra tình hình triển khai Chỉ thị này, tổng hợp kết quả thực hiện hằng năm, báo cáo Thủ tướng Chính phủ, đồng thời báo cáo Ban Chỉ đạo quốc gia thực hiện Chương trình quốc gia về sử dụng năng lượng tiết kiệm và hiệu quả giai đoạn 2019 - 2030.</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Chủ trì, phối hợp với các bộ, ngành, địa phương triển khai khẩn trương các nhiệm vụ của Chương trình quốc gia về sử dụng năng lượng tiết kiệm và hiệu quả giai đoạn 2019 - 2030 và Chương trình quốc gia về quản lý nhu cầu điện giai đoạn 2018 - 2020, định hướng đến năm 2030 trong đó đặc biệt chú trọng tới hoạt động điều chỉnh phụ tải điện phi thương mại và thương mại.</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Xây dựng và triển khai các chương trình khuyến khích điện mặt trời mái nhà trong doanh nghiệp và hộ gia đình, chương trình tuyên truyền phổ biến trang thiết bị tiết kiệm điện trong các hộ gia đình như điều hòa, tủ lạnh, đèn LED, máy giặt... Mở rộng phạm vi dán nhãn năng lượng, thúc đẩy chuyển đổi thị trường đối với sản phẩm có hiệu suất năng lượng cao.</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Chỉ đạo Tập đoàn Điện lực Việt Nam thực hiện vận hành tối ưu các nhà máy điện và lưới điện truyền tải, phân phối nhằm sử dụng hiệu quả nguồn năng lượng sơ cấp và giảm tổn thất điện năng trên toàn hệ thống.</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Phối hợp với các cơ quan truyền thông tuyên truyền liên tục, rộng rãi để nhân dân biết và thực hiện tiết kiệm điện. Chủ trì phối hợp với các bộ, ngành, Ủy ban nhân dân các tỉnh, thành phố trực thuộc trung ương tăng cường tuyên truyền, phổ biến các chính sách, quy định của nhà nước về tiết kiệm điện, sử dụng năng lượng tiết kiệm và hiệu quả. Tổ chức sự kiện tháng tiết kiệm điện hàng năm.</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Đôn đốc các Sở Công Thương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Chủ trì, phối hợp với các bộ, ngành rà soát, bổ sung và hoàn thiện hệ thống văn bản quy phạm pháp luật về định mức sử dụng năng lượng cho đơn vị sản phẩm của ngành, tiểu ngành; rà soát, đề xuất sửa đổi, bổ sung các tiêu chuẩn, quy chuẩn kỹ thuật, quy định pháp luật về sử dụng năng lượng tiết kiệm và hiệu quả bao gồm: Luật Sử dụng năng lượng tiết kiệm và hiệu quả; Nghị định số 21/2011/NĐ-CP ngày 29 tháng 3 năm 2011; nghiên cứu bổ sung hành lang pháp lý cho hoạt động mô hình kinh doanh công ty dịch vụ năng lượng (ESCO); các thông tư quy định định mức tiêu hao năng lượng trong lĩnh vực công nghiệp, công trình xây dựng, giao thông vận tải và các văn bản quy phạm pháp luật khác có liên quan.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Phối hợp với Ủy ban nhân dân các tỉnh, thành phố trực thuộc trung ương xây dựng chỉ tiêu tiết kiệm điện theo năm cho địa phương.</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Xây dựng và tổ chức thực hiện kế hoạch kiểm tra, giám sát, áp dụng chế tài xử phạt đối với các cá nhân, doanh nghiệp, tổ chức không thực hiện các quy định về sử dụng năng lượng tiết kiệm và hiệu quả.</w:t>
      </w:r>
    </w:p>
    <w:p w:rsidR="00031DB0" w:rsidRPr="00031DB0" w:rsidRDefault="00031DB0" w:rsidP="00031DB0">
      <w:pPr>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222222"/>
          <w:szCs w:val="26"/>
        </w:rPr>
        <w:t>- Chủ trì xây dựng chương trình điện mặt trời áp mái nhà đối với hộ gia đình, doanh nghiệp, cơ quan nhà nước, bệnh viện, trường học (bao gồm chính sách khuyến khích, truyền thông...).</w:t>
      </w:r>
    </w:p>
    <w:p w:rsidR="00031DB0" w:rsidRPr="00031DB0" w:rsidRDefault="00031DB0" w:rsidP="00031DB0">
      <w:pPr>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222222"/>
          <w:szCs w:val="26"/>
        </w:rPr>
        <w:t>- Phối hợp với các cơ quan truyền thông Đài Truyền hình Việt Nam, Đài </w:t>
      </w:r>
      <w:r w:rsidRPr="00031DB0">
        <w:rPr>
          <w:rFonts w:eastAsia="Times New Roman" w:cs="Times New Roman"/>
          <w:color w:val="222222"/>
          <w:spacing w:val="-4"/>
          <w:szCs w:val="26"/>
        </w:rPr>
        <w:t xml:space="preserve">Tiếng nói Việt </w:t>
      </w:r>
      <w:proofErr w:type="gramStart"/>
      <w:r w:rsidRPr="00031DB0">
        <w:rPr>
          <w:rFonts w:eastAsia="Times New Roman" w:cs="Times New Roman"/>
          <w:color w:val="222222"/>
          <w:spacing w:val="-4"/>
          <w:szCs w:val="26"/>
        </w:rPr>
        <w:t>Nam,...</w:t>
      </w:r>
      <w:proofErr w:type="gramEnd"/>
      <w:r w:rsidRPr="00031DB0">
        <w:rPr>
          <w:rFonts w:eastAsia="Times New Roman" w:cs="Times New Roman"/>
          <w:color w:val="222222"/>
          <w:spacing w:val="-4"/>
          <w:szCs w:val="26"/>
        </w:rPr>
        <w:t xml:space="preserve"> tuyên truyền Chỉ thị và chương trình điện mặt trời áp mái.</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3. Bộ Tài chính có trách nhiệm:</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Phối hợp với Bộ Công Thương và các bên liên quan nghiên cứu, xây dựng, ban hành hoặc trình cấp có thẩm quyền ban hành cơ chế tài chính cho phép Tập đoàn Điện lực Việt Nam hạch toán vào giá thành các nhiệm vụ về thúc đẩy tiết kiệm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Cân đối, bố trí kinh phí thực hiện các nhiệm vụ về tiết kiệm điện và kinh phí thực hiện các nhiệm vụ thuộc Chương trình quốc gia về sử dụng năng lượng tiết kiệm và hiệu quả giai đoạn 2019 - 2030 theo Quyết định số 280/QĐ-TTg ngày 13 tháng 3 năm 2019 của Thủ tướng Chính phủ, theo quy định của Luật Ngân sách nhà nước, Luật Quản lý nợ công và các văn bản hướng dẫn.     </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Phối hợp với Bộ Công Thương và các bên liên quan nghiên cứu, xây dựng, ban hành hoặc trình cấp có thẩm quyền ban hành các cơ chế, chính sách tài chính thúc đẩy phát triển thị trường Công ty dịch vụ năng lượng, cơ chế khuyến khích khách hàng tham gia các chương trình điều chỉnh phụ tải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4. Bộ Kế hoạch và Đầu tư chủ trì, phối hợp với Bộ Công Thương, Bộ Tài chính xem xét quy định về việc các dự án từ nguồn đầu tư công phải lắp đặt thiết bị điện mặt trời áp mái tại các toà nhà.</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pacing w:val="2"/>
          <w:szCs w:val="26"/>
        </w:rPr>
        <w:t>5. Bộ Khoa học và Công nghệ có trách nhiệm phối hợp với các bộ, ngành liên quan rà soát bổ sung, xây dựng, soát xét và ban hành các tiêu chuẩn kĩ thuật quốc gia, quy chuẩn kỹ thuật về hiệu suất năng lượng đối với các thiết bị tiêu thụ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6. Bộ Thông tin và Truyền thông phối hợp với Bộ Công Thương chỉ đạo các Đài phát thanh, truyền hình và các cơ quan thông tấn báo chí trung ương và địa phương xây dựng và thực hiện liên tục các chương trình phát thanh và truyền hình về tiết kiệm điện, áp dụng đơn giá gắn liền với chính sách ưu đãi phù hợp cho việc tuyên truyền, phổ biến về tiết kiệm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Chỉ đạo các cơ quan báo chí trung ương, địa phương tích cực phối hợp với Bộ Công Thương, Tập đoàn Điện lực Việt Nam thực hiện công tác tuyên truyền với các hình thức phong phú, phù hợp về sử dụng tiết kiệm điện trong cao điểm hè, các chương trình, cuộc thi, phát động về tiết kiệm điện.</w:t>
      </w:r>
    </w:p>
    <w:p w:rsidR="00031DB0" w:rsidRPr="00031DB0" w:rsidRDefault="00031DB0" w:rsidP="00031DB0">
      <w:pPr>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7. Các bộ, ngành có trách nhiệm</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Phối hợp chặt chẽ với Bộ Công Thương thực hiện các nhiệm vụ được giao theo Chỉ thị này của Thủ tướng Chính phủ.</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Triển khai kế hoạch tiết kiệm điện, tổ chức thực hiện và tuyên truyền, phổ biến tới tất cả các đơn vị, cá nhân thuộc phạm vi quản lý. Kiểm tra, giám sát chặt chẽ chi phí sử dụng điện trong chi thường xuyên của các đơn vị hành chính sự nghiệp theo quy định.</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pacing w:val="-6"/>
          <w:szCs w:val="26"/>
        </w:rPr>
        <w:t>8. Ủy ban nhân dân các tỉnh, thành phố trực thuộc trung ương có trách nhiệm</w:t>
      </w:r>
      <w:r w:rsidRPr="00031DB0">
        <w:rPr>
          <w:rFonts w:eastAsia="Times New Roman" w:cs="Times New Roman"/>
          <w:color w:val="000000"/>
          <w:spacing w:val="-2"/>
          <w:szCs w:val="26"/>
        </w:rPr>
        <w:t>:</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Xây dựng, ban hành và triển khai Kế hoạch tiết kiệm điện tại địa phương. Tổ chức triển khai thực hiện hiệu quả, đồng bộ kế hoạch đã ban hành và theo dõi, giám sát, kiểm tra thường xuyên để đảm bảo đạt mục tiêu đặt ra hàng năm. Xây dựng mục tiêu tiết kiệm điện hằng năm và giai đoạn của địa phương, tổ chức phân bổ chỉ tiêu và xác định, đánh giá mức độ thực hiện chỉ tiêu tiết kiệm điện năng cho từng huyện, thị xã, thành phố trong năm kế hoạch.</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Tổ chức tuyên truyền về tiết kiệm điện đến mọi tầng lớp nhân dân trên địa bàn thông qua các hình thức khác nhau như in pa nô, áp phích, tuyên truyền trên Cổng Dịch vụ công trực truyến của các tỉnh, thành phố, trên các ứng dụng công dân số của các tỉnh, thành phố, hệ thống phát thanh, truyền hình, hệ thống báo điện tử, báo giấy, tổ chức các cuộc thi về tiết kiệm điện. Tổ chức tuyên truyền tới các cơ sở sử dụng năng lượng trọng điểm và các cơ sở tiêu thụ điện trọng điểm đối với việc thực hiện các quy định về sử dụng năng lượng tiết kiệm và hiệu quả và tham gia thực hiện các sự kiện điều chỉnh phụ tải điện theo yêu cầu của các cấp điều độ hệ thống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Chỉ đạo, giám sát các công ty điện lực trong thực hiện việc cung cấp điện theo kế hoạch tiết giảm điện hàng tháng khi xảy ra thiếu điện trong các tháng nắng nóng cao điểm và mùa khô. Yêu cầu các công ty điện lực địa phương phối hợp với các doanh nghiệp, tổ chức đóng trên địa bàn xây dựng kế hoạch tiết kiệm điện. Hỗ trợ Ủy ban nhân dân các cấp thống kê kết quả thực hiện kế hoạch tiết kiệm điện của doanh nghiệp, tổ chức thuộc địa bàn cung cấp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Tổ chức khen thưởng và đề xuất cơ quan nhà nước có thẩm quyền để khen thưởng các cơ quan, đơn vị, tổ chức và cá nhân có thành tích trong công tác tiết kiệm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Tổ chức kiểm tra, giám sát tình hình sử dụng điện đối với các cơ sở sử dụng năng lượng trọng điểm. Đẩy mạnh công tác kiểm tra, thanh tra, xử lý nghiêm mọi trường hợp vi phạm quy định hiện hành về sử dụng năng lượng tiết kiệm và hiệu quả. Hằng năm, công bố công khai trên các Cổng Dịch vụ công trực tuyến kết quả tiết kiệm điện của các Ủy ban nhân dân tỉnh, thành phố, các cơ quan hành chính sự nghiệp, mức tiêu hao năng lượng của các doanh nghiệp sản xuất thuộc đối tượng tuân thủ quy định của Nhà nước.</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9. Các bộ, cơ quan trung ương và địa phương, Ủy ban nhân dân các cấp có trách nhiệm:</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pacing w:val="-4"/>
          <w:szCs w:val="26"/>
        </w:rPr>
        <w:t xml:space="preserve">Hướng dẫn, kiểm tra, giám sát, phê duyệt và rà soát các dự án đầu tư, mua sắm công, triệt để tuân thủ quy định tại Quyết định số 68/2011/QĐ-TTg ngày 12 tháng 12 năm 2011 của Thủ tướng Chính phủ ban hành danh mục, phương tiện, thiết bị tiết kiệm năng lượng được trang bị, mua sắm đối với cơ quan, đơn vị sử dụng ngân sách nhà nước; giám sát chi phí sử dụng điện trong chi thường xuyên của các đơn vị hành chính sự nghiệp </w:t>
      </w:r>
      <w:r w:rsidRPr="00031DB0">
        <w:rPr>
          <w:rFonts w:eastAsia="Times New Roman" w:cs="Times New Roman"/>
          <w:color w:val="000000"/>
          <w:spacing w:val="4"/>
          <w:szCs w:val="26"/>
        </w:rPr>
        <w:t>theo quy định mức tiết kiệm điện của Chỉ thị này.</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10. Tập đoàn Điện lực Việt Nam có trách nhiệm:</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Phối hợp với Bộ Công Thương tổ chức triển khai các chương trình, kế hoạch tiết kiệm điện trong giai đoạn 2023 - 2025 và các năm tiếp theo. Xây dựng, tổ chức thực hiện và báo cáo Bộ Công Thương kết quả thực hiện chương trình, kế hoạch tiết kiệm điện hằng năm và trong giai đoạn.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Thực hiện vận hành tối ưu các nhà máy điện và lưới điện truyền tải, phân phối nhằm sử dụng hiệu quả nguồn năng lượng sơ cấp và giảm tổn thất điện năng của hệ thống. Huy động một cách hợp lý công suất và điện năng các nhà máy thủy điện, các nguồn điện mua của các nhà máy điện độc lập, các nhà máy năng lượng tái tạo và các nguồn điện dự phòng của khách hàng.</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Xây dựng kế hoạch bảo dưỡng định kỳ các nhà máy điện và huy động các tổ máy tối ưu đảm bảo yêu cầu kỹ thuật trong vận hành, khai thác hiệu quả các nguồn điện. Phối hợp chặt chẽ với Trung tâm Khí tượng - Thủy văn quốc gia, cập nhật dự báo về thời tiết và nguồn nước, đặc biệt là các bản tin dự báo nguồn nước trong thời kỳ mùa cạn, hạn hán, thiếu nước. Phối hợp với các cơ quan, đơn vị liên quan xây dựng kế hoạch và phương án vận hành hồ chứa trên cơ sở tối ưu việc điều tiết nước cho các mục đích sử dụng, đảm bảo tiết kiệm, hiệu quả nguồn nước, đảm bảo cấp nước an toàn cho hạ du.</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Tập trung tuyên truyền sử dụng điện tiết kiệm và hiệu quả tại hộ gia đình, các tòa nhà văn phòng, khu chung cư, doanh nghiệp, trụ sở hành chính, các trường học tại các tỉnh, thành phố;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trang trại chăn nuôi, trồng trọt (được lắp đặt trên mái nhà của các công trình xây dựng đã có sẵn), đặc biệt là khu vực phía Bắc.</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Chủ trì, phối hợp cùng với các cơ quan liên quan nghiên cứu xây dựng, báo cáo Ủy ban Quản lý vốn nhà nước tại doanh nghiệp trình cấp có thẩm quyền ban hành cơ chế tài chính cho phép việc hạch toán chi phí của hoạt động thúc đẩy tiết kiệm điện vào giá thành sản xuất kinh doanh của Tập đoàn.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Phối hợp với Ủy ban nhân dân các cấp, các doanh nghiệp, tổ chức đóng trên địa bàn xây dựng kế hoạch tiết kiệm điện. Phối hợp Sở Công Thương địa phương cập nhật, báo cáo Ủy ban nhân dân tỉnh, thành phố trực thuộc trung ương kết quả tiêu thụ điện hàng năm của các khách hàng sử dụng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Phối hợp với các đơn vị liên quan thống kê, theo dõi việc tiết kiệm điện của các cơ quan, công sở, doanh nghiệp nhà nước, chiếu sáng công cộng để tham mưu kiến nghị với Bộ Công Thương, Ủy ban nhân dân tỉnh, thành phố trực thuộc trung ương trong áp dụng các giải pháp sử dụng điện tiết kiệm và hiệu quả.</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Phối hợp với các doanh nghiệp sản xuất, cơ sở dịch vụ thương mại, các chủ đầu tư khu đô thị, ban quản trị tòa nhà thực hiện nghiêm túc chỉ đạo của Chỉ thị.</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 Trước ngày 01 tháng 02 hàng năm, tổng hợp báo cáo gửi Bộ Công Thương, chỉ đạo các đơn vị thành viên tổng hợp, báo cáo Ủy ban nhân dân cấp tỉnh, và các cơ quan, đơn vị liên quan kết quả thực hiện của các chương trình, kế hoạch tiết kiệm điện trên toàn quốc, để các ngành tham mưu cho bộ, ngành, Ủy ban nhân dân các tỉnh, thành phố trực thuộc trung ương có biện pháp xử lý đối với các đơn vị vi phạm quy định tiết kiệm điện.</w:t>
      </w:r>
    </w:p>
    <w:p w:rsidR="00031DB0" w:rsidRPr="00031DB0" w:rsidRDefault="00031DB0" w:rsidP="00031DB0">
      <w:pPr>
        <w:shd w:val="clear" w:color="auto" w:fill="FFFFFF"/>
        <w:spacing w:before="100" w:beforeAutospacing="1" w:after="120" w:line="240" w:lineRule="auto"/>
        <w:ind w:firstLine="720"/>
        <w:jc w:val="both"/>
        <w:rPr>
          <w:rFonts w:eastAsia="Times New Roman" w:cs="Times New Roman"/>
          <w:color w:val="222222"/>
          <w:szCs w:val="26"/>
        </w:rPr>
      </w:pPr>
      <w:r w:rsidRPr="00031DB0">
        <w:rPr>
          <w:rFonts w:eastAsia="Times New Roman" w:cs="Times New Roman"/>
          <w:color w:val="000000"/>
          <w:szCs w:val="26"/>
        </w:rPr>
        <w:t>11. Các Bộ trưởng, Thủ trưởng cơ quan ngang bộ, Thủ trưởng cơ quan thuộc Chính phủ, Chủ tịch Ủy ban nhân dân các tỉnh, thành phố trực thuộc trung ương, Chủ tịch Hội đồng thành viên, Tổng Giám đốc Tập đoàn Điện lực Việt Nam, Thủ trưởng các cơ quan, đơn vị và các tổ chức, cá nhân hoạt động điện lực và sử dụng điện có trách nhiệm chỉ đạo và thi hành nghiêm Chỉ thị này.</w:t>
      </w:r>
    </w:p>
    <w:p w:rsidR="00031DB0" w:rsidRPr="00031DB0" w:rsidRDefault="00031DB0" w:rsidP="00031DB0">
      <w:pPr>
        <w:shd w:val="clear" w:color="auto" w:fill="FFFFFF"/>
        <w:spacing w:before="100" w:beforeAutospacing="1" w:line="240" w:lineRule="auto"/>
        <w:ind w:firstLine="720"/>
        <w:jc w:val="both"/>
        <w:rPr>
          <w:rFonts w:eastAsia="Times New Roman" w:cs="Times New Roman"/>
          <w:color w:val="222222"/>
          <w:szCs w:val="26"/>
        </w:rPr>
      </w:pPr>
      <w:r w:rsidRPr="00031DB0">
        <w:rPr>
          <w:rFonts w:eastAsia="Times New Roman" w:cs="Times New Roman"/>
          <w:color w:val="000000"/>
          <w:szCs w:val="26"/>
        </w:rPr>
        <w:t>12. Chỉ thị này thay thế Chỉ thị số 20/CT-TTg ngày 07 tháng 5 năm 2020 </w:t>
      </w:r>
      <w:r w:rsidRPr="00031DB0">
        <w:rPr>
          <w:rFonts w:eastAsia="Times New Roman" w:cs="Times New Roman"/>
          <w:color w:val="000000"/>
          <w:spacing w:val="-6"/>
          <w:szCs w:val="26"/>
        </w:rPr>
        <w:t>của Thủ tướng Chính phủ về việc tăng cường tiết kiệm điện giai đoạn 2020 - 2025./.</w:t>
      </w:r>
    </w:p>
    <w:p w:rsidR="00031DB0" w:rsidRPr="00031DB0" w:rsidRDefault="00031DB0" w:rsidP="00031DB0">
      <w:pPr>
        <w:shd w:val="clear" w:color="auto" w:fill="FFFFFF"/>
        <w:spacing w:before="100" w:beforeAutospacing="1" w:line="240" w:lineRule="auto"/>
        <w:jc w:val="both"/>
        <w:rPr>
          <w:rFonts w:eastAsia="Times New Roman" w:cs="Times New Roman"/>
          <w:color w:val="222222"/>
          <w:szCs w:val="26"/>
        </w:rPr>
      </w:pPr>
      <w:r w:rsidRPr="00031DB0">
        <w:rPr>
          <w:rFonts w:eastAsia="Times New Roman" w:cs="Times New Roman"/>
          <w:color w:val="222222"/>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875"/>
        <w:gridCol w:w="4196"/>
      </w:tblGrid>
      <w:tr w:rsidR="00031DB0" w:rsidRPr="00031DB0" w:rsidTr="00031DB0">
        <w:trPr>
          <w:trHeight w:val="3705"/>
        </w:trPr>
        <w:tc>
          <w:tcPr>
            <w:tcW w:w="7429" w:type="dxa"/>
            <w:shd w:val="clear" w:color="auto" w:fill="FFFFFF"/>
            <w:tcMar>
              <w:top w:w="0" w:type="dxa"/>
              <w:left w:w="108" w:type="dxa"/>
              <w:bottom w:w="0" w:type="dxa"/>
              <w:right w:w="108" w:type="dxa"/>
            </w:tcMar>
            <w:hideMark/>
          </w:tcPr>
          <w:p w:rsidR="00031DB0" w:rsidRPr="00031DB0" w:rsidRDefault="00031DB0" w:rsidP="00031DB0">
            <w:pPr>
              <w:spacing w:before="100" w:beforeAutospacing="1" w:line="240" w:lineRule="auto"/>
              <w:rPr>
                <w:rFonts w:eastAsia="Times New Roman" w:cs="Times New Roman"/>
                <w:color w:val="222222"/>
                <w:szCs w:val="26"/>
              </w:rPr>
            </w:pPr>
            <w:r w:rsidRPr="00031DB0">
              <w:rPr>
                <w:rFonts w:eastAsia="Times New Roman" w:cs="Times New Roman"/>
                <w:b/>
                <w:bCs/>
                <w:i/>
                <w:iCs/>
                <w:color w:val="000000"/>
                <w:sz w:val="20"/>
                <w:szCs w:val="20"/>
              </w:rPr>
              <w:t>Nơi nhận:</w:t>
            </w:r>
            <w:r w:rsidRPr="00031DB0">
              <w:rPr>
                <w:rFonts w:eastAsia="Times New Roman" w:cs="Times New Roman"/>
                <w:color w:val="222222"/>
                <w:szCs w:val="26"/>
              </w:rPr>
              <w:br/>
            </w:r>
            <w:r w:rsidRPr="00031DB0">
              <w:rPr>
                <w:rFonts w:eastAsia="Times New Roman" w:cs="Times New Roman"/>
                <w:color w:val="000000"/>
                <w:sz w:val="20"/>
                <w:szCs w:val="20"/>
              </w:rPr>
              <w:t>- Ban Bí thư Trung ương Đảng;</w:t>
            </w:r>
            <w:r w:rsidRPr="00031DB0">
              <w:rPr>
                <w:rFonts w:eastAsia="Times New Roman" w:cs="Times New Roman"/>
                <w:color w:val="000000"/>
                <w:sz w:val="20"/>
                <w:szCs w:val="20"/>
              </w:rPr>
              <w:br/>
              <w:t>- Thủ tướng, các Phó Thủ tướng Chính phủ;</w:t>
            </w:r>
            <w:r w:rsidRPr="00031DB0">
              <w:rPr>
                <w:rFonts w:eastAsia="Times New Roman" w:cs="Times New Roman"/>
                <w:color w:val="000000"/>
                <w:sz w:val="20"/>
                <w:szCs w:val="20"/>
              </w:rPr>
              <w:br/>
            </w:r>
            <w:r w:rsidRPr="00031DB0">
              <w:rPr>
                <w:rFonts w:eastAsia="Times New Roman" w:cs="Times New Roman"/>
                <w:color w:val="000000"/>
                <w:spacing w:val="-6"/>
                <w:sz w:val="20"/>
                <w:szCs w:val="20"/>
              </w:rPr>
              <w:t>- Các bộ, cơ quan ngang bộ, cơ quan thuộc Chính phủ;</w:t>
            </w:r>
            <w:r w:rsidRPr="00031DB0">
              <w:rPr>
                <w:rFonts w:eastAsia="Times New Roman" w:cs="Times New Roman"/>
                <w:color w:val="000000"/>
                <w:sz w:val="20"/>
                <w:szCs w:val="20"/>
              </w:rPr>
              <w:br/>
              <w:t>- HĐND, UBND các tỉnh, thành phố trực thuộc trung ương;</w:t>
            </w:r>
            <w:r w:rsidRPr="00031DB0">
              <w:rPr>
                <w:rFonts w:eastAsia="Times New Roman" w:cs="Times New Roman"/>
                <w:color w:val="000000"/>
                <w:sz w:val="20"/>
                <w:szCs w:val="20"/>
              </w:rPr>
              <w:br/>
              <w:t>- Văn phòng Trung ương và các Ban của Đảng;</w:t>
            </w:r>
            <w:r w:rsidRPr="00031DB0">
              <w:rPr>
                <w:rFonts w:eastAsia="Times New Roman" w:cs="Times New Roman"/>
                <w:color w:val="000000"/>
                <w:sz w:val="20"/>
                <w:szCs w:val="20"/>
              </w:rPr>
              <w:br/>
              <w:t>- Văn phòng Chủ tịch nước;</w:t>
            </w:r>
            <w:r w:rsidRPr="00031DB0">
              <w:rPr>
                <w:rFonts w:eastAsia="Times New Roman" w:cs="Times New Roman"/>
                <w:color w:val="000000"/>
                <w:sz w:val="20"/>
                <w:szCs w:val="20"/>
              </w:rPr>
              <w:br/>
              <w:t>- Hội đồng Dân tộc và các Ủy ban của Quốc hội;</w:t>
            </w:r>
            <w:r w:rsidRPr="00031DB0">
              <w:rPr>
                <w:rFonts w:eastAsia="Times New Roman" w:cs="Times New Roman"/>
                <w:color w:val="000000"/>
                <w:sz w:val="20"/>
                <w:szCs w:val="20"/>
              </w:rPr>
              <w:br/>
              <w:t>- Văn phòng Quốc hội;</w:t>
            </w:r>
            <w:r w:rsidRPr="00031DB0">
              <w:rPr>
                <w:rFonts w:eastAsia="Times New Roman" w:cs="Times New Roman"/>
                <w:color w:val="000000"/>
                <w:sz w:val="20"/>
                <w:szCs w:val="20"/>
              </w:rPr>
              <w:br/>
              <w:t>- Toà án nhân dân tối cao;</w:t>
            </w:r>
            <w:r w:rsidRPr="00031DB0">
              <w:rPr>
                <w:rFonts w:eastAsia="Times New Roman" w:cs="Times New Roman"/>
                <w:color w:val="000000"/>
                <w:sz w:val="20"/>
                <w:szCs w:val="20"/>
              </w:rPr>
              <w:br/>
              <w:t>- Viện kiểm sát nhân dân tối cao;</w:t>
            </w:r>
            <w:r w:rsidRPr="00031DB0">
              <w:rPr>
                <w:rFonts w:eastAsia="Times New Roman" w:cs="Times New Roman"/>
                <w:color w:val="000000"/>
                <w:sz w:val="20"/>
                <w:szCs w:val="20"/>
              </w:rPr>
              <w:br/>
              <w:t>- Cơ quan trung ương của các đoàn thể;</w:t>
            </w:r>
            <w:r w:rsidRPr="00031DB0">
              <w:rPr>
                <w:rFonts w:eastAsia="Times New Roman" w:cs="Times New Roman"/>
                <w:color w:val="000000"/>
                <w:sz w:val="20"/>
                <w:szCs w:val="20"/>
              </w:rPr>
              <w:br/>
              <w:t>- Các tập đoàn kinh tế;</w:t>
            </w:r>
            <w:r w:rsidRPr="00031DB0">
              <w:rPr>
                <w:rFonts w:eastAsia="Times New Roman" w:cs="Times New Roman"/>
                <w:color w:val="000000"/>
                <w:sz w:val="20"/>
                <w:szCs w:val="20"/>
              </w:rPr>
              <w:br/>
              <w:t>- VPCP: BTCN, các PCN, Trợ lý TTg, TGĐ Cổng TTĐT,</w:t>
            </w:r>
            <w:r w:rsidRPr="00031DB0">
              <w:rPr>
                <w:rFonts w:eastAsia="Times New Roman" w:cs="Times New Roman"/>
                <w:color w:val="000000"/>
                <w:sz w:val="20"/>
                <w:szCs w:val="20"/>
              </w:rPr>
              <w:br/>
              <w:t>  các Vụ, Cục, đơn vị trực thuộc;</w:t>
            </w:r>
            <w:r w:rsidRPr="00031DB0">
              <w:rPr>
                <w:rFonts w:eastAsia="Times New Roman" w:cs="Times New Roman"/>
                <w:color w:val="000000"/>
                <w:sz w:val="20"/>
                <w:szCs w:val="20"/>
              </w:rPr>
              <w:br/>
              <w:t>- Lưu: VT, CN (2).</w:t>
            </w:r>
          </w:p>
        </w:tc>
        <w:tc>
          <w:tcPr>
            <w:tcW w:w="4691" w:type="dxa"/>
            <w:shd w:val="clear" w:color="auto" w:fill="FFFFFF"/>
            <w:tcMar>
              <w:top w:w="0" w:type="dxa"/>
              <w:left w:w="108" w:type="dxa"/>
              <w:bottom w:w="0" w:type="dxa"/>
              <w:right w:w="108" w:type="dxa"/>
            </w:tcMar>
            <w:hideMark/>
          </w:tcPr>
          <w:p w:rsidR="00031DB0" w:rsidRPr="00031DB0" w:rsidRDefault="00031DB0" w:rsidP="00031DB0">
            <w:pPr>
              <w:spacing w:before="100" w:beforeAutospacing="1" w:line="240" w:lineRule="auto"/>
              <w:jc w:val="center"/>
              <w:rPr>
                <w:rFonts w:eastAsia="Times New Roman" w:cs="Times New Roman"/>
                <w:color w:val="222222"/>
                <w:szCs w:val="26"/>
              </w:rPr>
            </w:pPr>
            <w:r w:rsidRPr="00031DB0">
              <w:rPr>
                <w:rFonts w:eastAsia="Times New Roman" w:cs="Times New Roman"/>
                <w:b/>
                <w:bCs/>
                <w:color w:val="000000"/>
                <w:szCs w:val="26"/>
              </w:rPr>
              <w:t>KT. THỦ TƯỚNG</w:t>
            </w:r>
            <w:r w:rsidRPr="00031DB0">
              <w:rPr>
                <w:rFonts w:eastAsia="Times New Roman" w:cs="Times New Roman"/>
                <w:color w:val="222222"/>
                <w:szCs w:val="26"/>
              </w:rPr>
              <w:br/>
            </w:r>
            <w:r w:rsidRPr="00031DB0">
              <w:rPr>
                <w:rFonts w:eastAsia="Times New Roman" w:cs="Times New Roman"/>
                <w:b/>
                <w:bCs/>
                <w:color w:val="000000"/>
                <w:szCs w:val="26"/>
              </w:rPr>
              <w:t>PHÓ THỦ TƯỚNG</w:t>
            </w:r>
            <w:r w:rsidRPr="00031DB0">
              <w:rPr>
                <w:rFonts w:eastAsia="Times New Roman" w:cs="Times New Roman"/>
                <w:color w:val="222222"/>
                <w:szCs w:val="26"/>
              </w:rPr>
              <w:br/>
            </w:r>
            <w:r w:rsidRPr="00031DB0">
              <w:rPr>
                <w:rFonts w:eastAsia="Times New Roman" w:cs="Times New Roman"/>
                <w:color w:val="222222"/>
                <w:szCs w:val="26"/>
              </w:rPr>
              <w:br/>
            </w:r>
            <w:r w:rsidRPr="00031DB0">
              <w:rPr>
                <w:rFonts w:eastAsia="Times New Roman" w:cs="Times New Roman"/>
                <w:color w:val="222222"/>
                <w:szCs w:val="26"/>
              </w:rPr>
              <w:br/>
            </w:r>
            <w:r w:rsidRPr="00031DB0">
              <w:rPr>
                <w:rFonts w:eastAsia="Times New Roman" w:cs="Times New Roman"/>
                <w:color w:val="222222"/>
                <w:szCs w:val="26"/>
              </w:rPr>
              <w:br/>
              <w:t> </w:t>
            </w:r>
          </w:p>
          <w:p w:rsidR="00031DB0" w:rsidRPr="00031DB0" w:rsidRDefault="00031DB0" w:rsidP="00031DB0">
            <w:pPr>
              <w:spacing w:before="100" w:beforeAutospacing="1" w:line="240" w:lineRule="auto"/>
              <w:jc w:val="center"/>
              <w:rPr>
                <w:rFonts w:eastAsia="Times New Roman" w:cs="Times New Roman"/>
                <w:color w:val="222222"/>
                <w:szCs w:val="26"/>
              </w:rPr>
            </w:pPr>
            <w:r w:rsidRPr="00031DB0">
              <w:rPr>
                <w:rFonts w:eastAsia="Times New Roman" w:cs="Times New Roman"/>
                <w:b/>
                <w:bCs/>
                <w:color w:val="000000"/>
                <w:szCs w:val="26"/>
              </w:rPr>
              <w:t>Trần Hồng Hà</w:t>
            </w:r>
          </w:p>
          <w:p w:rsidR="00031DB0" w:rsidRPr="00031DB0" w:rsidRDefault="00031DB0" w:rsidP="00031DB0">
            <w:pPr>
              <w:spacing w:before="100" w:beforeAutospacing="1" w:line="240" w:lineRule="auto"/>
              <w:jc w:val="center"/>
              <w:textAlignment w:val="center"/>
              <w:rPr>
                <w:rFonts w:eastAsia="Times New Roman" w:cs="Times New Roman"/>
                <w:color w:val="222222"/>
                <w:szCs w:val="26"/>
              </w:rPr>
            </w:pPr>
            <w:r w:rsidRPr="00031DB0">
              <w:rPr>
                <w:rFonts w:eastAsia="Times New Roman" w:cs="Times New Roman"/>
                <w:b/>
                <w:bCs/>
                <w:color w:val="FFFFFF"/>
                <w:sz w:val="20"/>
                <w:szCs w:val="20"/>
              </w:rPr>
              <w:t>[daky]</w:t>
            </w:r>
          </w:p>
          <w:p w:rsidR="00031DB0" w:rsidRPr="00031DB0" w:rsidRDefault="00031DB0" w:rsidP="00031DB0">
            <w:pPr>
              <w:spacing w:before="100" w:beforeAutospacing="1" w:line="240" w:lineRule="auto"/>
              <w:jc w:val="center"/>
              <w:textAlignment w:val="center"/>
              <w:rPr>
                <w:rFonts w:eastAsia="Times New Roman" w:cs="Times New Roman"/>
                <w:color w:val="222222"/>
                <w:szCs w:val="26"/>
              </w:rPr>
            </w:pPr>
            <w:r w:rsidRPr="00031DB0">
              <w:rPr>
                <w:rFonts w:eastAsia="Times New Roman" w:cs="Times New Roman"/>
                <w:color w:val="222222"/>
                <w:szCs w:val="26"/>
              </w:rPr>
              <w:t> </w:t>
            </w:r>
          </w:p>
          <w:p w:rsidR="00031DB0" w:rsidRPr="00031DB0" w:rsidRDefault="00031DB0" w:rsidP="00031DB0">
            <w:pPr>
              <w:spacing w:before="100" w:beforeAutospacing="1" w:line="240" w:lineRule="auto"/>
              <w:jc w:val="center"/>
              <w:textAlignment w:val="center"/>
              <w:rPr>
                <w:rFonts w:eastAsia="Times New Roman" w:cs="Times New Roman"/>
                <w:color w:val="222222"/>
                <w:szCs w:val="26"/>
              </w:rPr>
            </w:pPr>
            <w:r w:rsidRPr="00031DB0">
              <w:rPr>
                <w:rFonts w:eastAsia="Times New Roman" w:cs="Times New Roman"/>
                <w:b/>
                <w:bCs/>
                <w:color w:val="000000"/>
                <w:sz w:val="20"/>
                <w:szCs w:val="20"/>
              </w:rPr>
              <w:t>                                                                </w:t>
            </w:r>
          </w:p>
        </w:tc>
      </w:tr>
      <w:bookmarkEnd w:id="0"/>
    </w:tbl>
    <w:p w:rsidR="001D0A37" w:rsidRPr="00031DB0" w:rsidRDefault="001D0A37" w:rsidP="00031DB0">
      <w:pPr>
        <w:rPr>
          <w:rFonts w:cs="Times New Roman"/>
        </w:rPr>
      </w:pPr>
    </w:p>
    <w:sectPr w:rsidR="001D0A37" w:rsidRPr="00031DB0"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B0"/>
    <w:rsid w:val="00031DB0"/>
    <w:rsid w:val="001D0A37"/>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B718"/>
  <w15:chartTrackingRefBased/>
  <w15:docId w15:val="{A0287414-3436-4049-B9E1-BD662230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1DB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31DB0"/>
    <w:rPr>
      <w:b/>
      <w:bCs/>
    </w:rPr>
  </w:style>
  <w:style w:type="character" w:styleId="Emphasis">
    <w:name w:val="Emphasis"/>
    <w:basedOn w:val="DefaultParagraphFont"/>
    <w:uiPriority w:val="20"/>
    <w:qFormat/>
    <w:rsid w:val="00031DB0"/>
    <w:rPr>
      <w:i/>
      <w:iCs/>
    </w:rPr>
  </w:style>
  <w:style w:type="character" w:customStyle="1" w:styleId="doclink">
    <w:name w:val="doclink"/>
    <w:basedOn w:val="DefaultParagraphFont"/>
    <w:rsid w:val="0003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442993">
      <w:bodyDiv w:val="1"/>
      <w:marLeft w:val="0"/>
      <w:marRight w:val="0"/>
      <w:marTop w:val="0"/>
      <w:marBottom w:val="0"/>
      <w:divBdr>
        <w:top w:val="none" w:sz="0" w:space="0" w:color="auto"/>
        <w:left w:val="none" w:sz="0" w:space="0" w:color="auto"/>
        <w:bottom w:val="none" w:sz="0" w:space="0" w:color="auto"/>
        <w:right w:val="none" w:sz="0" w:space="0" w:color="auto"/>
      </w:divBdr>
      <w:divsChild>
        <w:div w:id="232617980">
          <w:marLeft w:val="0"/>
          <w:marRight w:val="0"/>
          <w:marTop w:val="0"/>
          <w:marBottom w:val="0"/>
          <w:divBdr>
            <w:top w:val="none" w:sz="0" w:space="0" w:color="auto"/>
            <w:left w:val="none" w:sz="0" w:space="0" w:color="auto"/>
            <w:bottom w:val="none" w:sz="0" w:space="0" w:color="auto"/>
            <w:right w:val="none" w:sz="0" w:space="0" w:color="auto"/>
          </w:divBdr>
        </w:div>
      </w:divsChild>
    </w:div>
    <w:div w:id="2015958556">
      <w:bodyDiv w:val="1"/>
      <w:marLeft w:val="0"/>
      <w:marRight w:val="0"/>
      <w:marTop w:val="0"/>
      <w:marBottom w:val="0"/>
      <w:divBdr>
        <w:top w:val="none" w:sz="0" w:space="0" w:color="auto"/>
        <w:left w:val="none" w:sz="0" w:space="0" w:color="auto"/>
        <w:bottom w:val="none" w:sz="0" w:space="0" w:color="auto"/>
        <w:right w:val="none" w:sz="0" w:space="0" w:color="auto"/>
      </w:divBdr>
      <w:divsChild>
        <w:div w:id="210680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3518</Words>
  <Characters>20058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2023-06-08T10:03:00Z</dcterms:created>
  <dcterms:modified xsi:type="dcterms:W3CDTF">2023-06-08T10:08:00Z</dcterms:modified>
</cp:coreProperties>
</file>