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45"/>
        <w:gridCol w:w="5626"/>
      </w:tblGrid>
      <w:tr w:rsidR="009050A2" w:rsidRPr="009050A2" w:rsidTr="009050A2">
        <w:tc>
          <w:tcPr>
            <w:tcW w:w="3511" w:type="dxa"/>
            <w:tcMar>
              <w:top w:w="0" w:type="dxa"/>
              <w:left w:w="108" w:type="dxa"/>
              <w:bottom w:w="0" w:type="dxa"/>
              <w:right w:w="108" w:type="dxa"/>
            </w:tcMar>
            <w:hideMark/>
          </w:tcPr>
          <w:p w:rsidR="009050A2" w:rsidRPr="009050A2" w:rsidRDefault="009050A2" w:rsidP="009050A2">
            <w:pPr>
              <w:spacing w:before="120" w:after="100" w:afterAutospacing="1" w:line="240" w:lineRule="auto"/>
              <w:jc w:val="center"/>
              <w:rPr>
                <w:rFonts w:eastAsia="Times New Roman" w:cs="Times New Roman"/>
                <w:sz w:val="24"/>
                <w:szCs w:val="24"/>
              </w:rPr>
            </w:pPr>
            <w:r w:rsidRPr="009050A2">
              <w:rPr>
                <w:rFonts w:eastAsia="Times New Roman" w:cs="Times New Roman"/>
                <w:b/>
                <w:bCs/>
                <w:sz w:val="24"/>
                <w:szCs w:val="24"/>
              </w:rPr>
              <w:t>BỘ CÔNG THƯƠNG</w:t>
            </w:r>
            <w:r w:rsidRPr="009050A2">
              <w:rPr>
                <w:rFonts w:eastAsia="Times New Roman" w:cs="Times New Roman"/>
                <w:b/>
                <w:bCs/>
                <w:sz w:val="24"/>
                <w:szCs w:val="24"/>
              </w:rPr>
              <w:br/>
              <w:t>-------</w:t>
            </w:r>
          </w:p>
        </w:tc>
        <w:tc>
          <w:tcPr>
            <w:tcW w:w="5776" w:type="dxa"/>
            <w:tcMar>
              <w:top w:w="0" w:type="dxa"/>
              <w:left w:w="108" w:type="dxa"/>
              <w:bottom w:w="0" w:type="dxa"/>
              <w:right w:w="108" w:type="dxa"/>
            </w:tcMar>
            <w:hideMark/>
          </w:tcPr>
          <w:p w:rsidR="009050A2" w:rsidRPr="009050A2" w:rsidRDefault="009050A2" w:rsidP="009050A2">
            <w:pPr>
              <w:spacing w:before="120" w:after="100" w:afterAutospacing="1" w:line="240" w:lineRule="auto"/>
              <w:jc w:val="center"/>
              <w:rPr>
                <w:rFonts w:eastAsia="Times New Roman" w:cs="Times New Roman"/>
                <w:sz w:val="24"/>
                <w:szCs w:val="24"/>
              </w:rPr>
            </w:pPr>
            <w:r w:rsidRPr="009050A2">
              <w:rPr>
                <w:rFonts w:eastAsia="Times New Roman" w:cs="Times New Roman"/>
                <w:b/>
                <w:bCs/>
                <w:sz w:val="24"/>
                <w:szCs w:val="24"/>
              </w:rPr>
              <w:t>CỘNG HÒA XÃ HỘI CHỦ NGHĨA VIỆT NAM</w:t>
            </w:r>
            <w:r w:rsidRPr="009050A2">
              <w:rPr>
                <w:rFonts w:eastAsia="Times New Roman" w:cs="Times New Roman"/>
                <w:b/>
                <w:bCs/>
                <w:sz w:val="24"/>
                <w:szCs w:val="24"/>
              </w:rPr>
              <w:br/>
              <w:t>Độc lập - Tự do - Hạnh phúc</w:t>
            </w:r>
            <w:r w:rsidRPr="009050A2">
              <w:rPr>
                <w:rFonts w:eastAsia="Times New Roman" w:cs="Times New Roman"/>
                <w:b/>
                <w:bCs/>
                <w:sz w:val="24"/>
                <w:szCs w:val="24"/>
              </w:rPr>
              <w:br/>
              <w:t>---------------</w:t>
            </w:r>
          </w:p>
        </w:tc>
      </w:tr>
      <w:tr w:rsidR="009050A2" w:rsidRPr="009050A2" w:rsidTr="009050A2">
        <w:tc>
          <w:tcPr>
            <w:tcW w:w="3511" w:type="dxa"/>
            <w:tcMar>
              <w:top w:w="0" w:type="dxa"/>
              <w:left w:w="108" w:type="dxa"/>
              <w:bottom w:w="0" w:type="dxa"/>
              <w:right w:w="108" w:type="dxa"/>
            </w:tcMar>
            <w:hideMark/>
          </w:tcPr>
          <w:p w:rsidR="009050A2" w:rsidRPr="009050A2" w:rsidRDefault="009050A2" w:rsidP="009050A2">
            <w:pPr>
              <w:spacing w:before="120" w:after="100" w:afterAutospacing="1" w:line="240" w:lineRule="auto"/>
              <w:jc w:val="center"/>
              <w:rPr>
                <w:rFonts w:eastAsia="Times New Roman" w:cs="Times New Roman"/>
                <w:sz w:val="24"/>
                <w:szCs w:val="24"/>
              </w:rPr>
            </w:pPr>
            <w:r w:rsidRPr="009050A2">
              <w:rPr>
                <w:rFonts w:eastAsia="Times New Roman" w:cs="Times New Roman"/>
                <w:sz w:val="24"/>
                <w:szCs w:val="24"/>
              </w:rPr>
              <w:t xml:space="preserve">Số: </w:t>
            </w:r>
            <w:bookmarkStart w:id="0" w:name="_GoBack"/>
            <w:r w:rsidRPr="009050A2">
              <w:rPr>
                <w:rFonts w:eastAsia="Times New Roman" w:cs="Times New Roman"/>
                <w:sz w:val="24"/>
                <w:szCs w:val="24"/>
              </w:rPr>
              <w:t>15/2023/TT-BCT</w:t>
            </w:r>
            <w:bookmarkEnd w:id="0"/>
          </w:p>
        </w:tc>
        <w:tc>
          <w:tcPr>
            <w:tcW w:w="5776" w:type="dxa"/>
            <w:tcMar>
              <w:top w:w="0" w:type="dxa"/>
              <w:left w:w="108" w:type="dxa"/>
              <w:bottom w:w="0" w:type="dxa"/>
              <w:right w:w="108" w:type="dxa"/>
            </w:tcMar>
            <w:hideMark/>
          </w:tcPr>
          <w:p w:rsidR="009050A2" w:rsidRPr="009050A2" w:rsidRDefault="009050A2" w:rsidP="009050A2">
            <w:pPr>
              <w:spacing w:before="120" w:after="100" w:afterAutospacing="1" w:line="240" w:lineRule="auto"/>
              <w:jc w:val="right"/>
              <w:rPr>
                <w:rFonts w:eastAsia="Times New Roman" w:cs="Times New Roman"/>
                <w:sz w:val="24"/>
                <w:szCs w:val="24"/>
              </w:rPr>
            </w:pPr>
            <w:r w:rsidRPr="009050A2">
              <w:rPr>
                <w:rFonts w:eastAsia="Times New Roman" w:cs="Times New Roman"/>
                <w:i/>
                <w:iCs/>
                <w:sz w:val="24"/>
                <w:szCs w:val="24"/>
              </w:rPr>
              <w:t>Hà Nội, ngày 30 tháng 6 năm 2023</w:t>
            </w:r>
          </w:p>
        </w:tc>
      </w:tr>
    </w:tbl>
    <w:p w:rsidR="009050A2" w:rsidRPr="009050A2" w:rsidRDefault="009050A2" w:rsidP="009050A2">
      <w:pPr>
        <w:spacing w:before="120" w:after="100" w:afterAutospacing="1" w:line="240" w:lineRule="auto"/>
        <w:rPr>
          <w:rFonts w:eastAsia="Times New Roman" w:cs="Times New Roman"/>
          <w:sz w:val="24"/>
          <w:szCs w:val="24"/>
        </w:rPr>
      </w:pPr>
    </w:p>
    <w:p w:rsidR="009050A2" w:rsidRPr="009050A2" w:rsidRDefault="009050A2" w:rsidP="009050A2">
      <w:pPr>
        <w:spacing w:before="120" w:after="100" w:afterAutospacing="1" w:line="240" w:lineRule="auto"/>
        <w:jc w:val="center"/>
        <w:rPr>
          <w:rFonts w:eastAsia="Times New Roman" w:cs="Times New Roman"/>
          <w:sz w:val="24"/>
          <w:szCs w:val="24"/>
        </w:rPr>
      </w:pPr>
      <w:r w:rsidRPr="009050A2">
        <w:rPr>
          <w:rFonts w:eastAsia="Times New Roman" w:cs="Times New Roman"/>
          <w:b/>
          <w:bCs/>
          <w:sz w:val="24"/>
          <w:szCs w:val="24"/>
        </w:rPr>
        <w:t>THÔNG TƯ</w:t>
      </w:r>
    </w:p>
    <w:p w:rsidR="009050A2" w:rsidRPr="009050A2" w:rsidRDefault="009050A2" w:rsidP="009050A2">
      <w:pPr>
        <w:spacing w:before="120" w:after="100" w:afterAutospacing="1" w:line="240" w:lineRule="auto"/>
        <w:jc w:val="center"/>
        <w:rPr>
          <w:rFonts w:eastAsia="Times New Roman" w:cs="Times New Roman"/>
          <w:sz w:val="24"/>
          <w:szCs w:val="24"/>
        </w:rPr>
      </w:pPr>
      <w:r w:rsidRPr="009050A2">
        <w:rPr>
          <w:rFonts w:eastAsia="Times New Roman" w:cs="Times New Roman"/>
          <w:sz w:val="24"/>
          <w:szCs w:val="24"/>
        </w:rPr>
        <w:t>SỬA ĐỔI, BỔ SUNG MỘT SỐ THÔNG TƯ CỦA BỘ TRƯỞNG BỘ CÔNG THƯƠNG HƯỚNG DẪN CHỨC NĂNG, NHIỆM VỤ, QUYỀN HẠN CỦA SỞ CÔNG THƯƠNG</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i/>
          <w:iCs/>
          <w:sz w:val="24"/>
          <w:szCs w:val="24"/>
        </w:rPr>
        <w:t>Căn cứ Nghị định số 96/2022/NĐ-CP ngày 29 tháng 11 năm 2022 của Chính phủ quy định chức năng, nhiệm vụ, quyền hạn và cơ cấu tổ chức của Bộ Công Thương;</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i/>
          <w:iCs/>
          <w:sz w:val="24"/>
          <w:szCs w:val="24"/>
        </w:rP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i/>
          <w:iCs/>
          <w:sz w:val="24"/>
          <w:szCs w:val="24"/>
        </w:rPr>
        <w:t>Căn cứ Nghị định số 37/2014/NĐ-CP ngày 05 tháng 5 năm 2014 của Chính phủ quy định tổ chức các cơ quan chuyên môn thuộc Ủy ban nhân dân huyện, quận, thị xã, thành phố thuộc tỉnh, thành phố trực thuộc Trung ương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i/>
          <w:iCs/>
          <w:sz w:val="24"/>
          <w:szCs w:val="24"/>
        </w:rPr>
        <w:t>Theo đề nghị của Vụ trưởng Vụ Tổ chức cán bộ;</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i/>
          <w:iCs/>
          <w:sz w:val="24"/>
          <w:szCs w:val="24"/>
        </w:rPr>
        <w:t>Bộ trưởng Bộ Công Thương ban hành Thông tư sửa đổi, bổ sung một số thông tư của Bộ trưởng Bộ Công Thương hướng dẫn chức năng, nhiệm vụ, quyền hạn của Sở Công Thương.</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b/>
          <w:bCs/>
          <w:sz w:val="24"/>
          <w:szCs w:val="24"/>
        </w:rPr>
        <w:t>Điều 1. Sửa đổi, bổ sung, bãi bỏ một số điều của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1. Sửa đổi, bổ sung khoản 1 Điều 1 như sau:</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 xml:space="preserve">“Sở Công Thương là cơ quan chuyên môn thuộc Ủy ban nhân dân cấp tỉnh; thực hiện chức năng tham mưu, giúp Ủy ban nhân dân cấp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thương mại biên giới (đối với các tỉnh có biên giới); dịch vụ logistics; xúc tiến thương </w:t>
      </w:r>
      <w:r w:rsidRPr="009050A2">
        <w:rPr>
          <w:rFonts w:eastAsia="Times New Roman" w:cs="Times New Roman"/>
          <w:sz w:val="24"/>
          <w:szCs w:val="24"/>
        </w:rPr>
        <w:lastRenderedPageBreak/>
        <w:t>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2. Sửa đổi, bổ sung điểm d khoản 1 Điều 2 như sau:</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“d) Dự thảo quyết định quy định cụ thể chức năng, nhiệm vụ, quyền hạn và cơ cấu tổ chức của Sở Công Thương;”</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3. Sửa đổi, bổ sung đoạn 5 điểm c khoản 4 Điều 2 như sau:</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“Tổ chức hướng dẫn, kiểm tra, giám sát việc thực hiện công tác tập huấn, sát hạch và cấp thẻ Kiểm tra viên điện lực theo quy định của Bộ Công Thương”.</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4. Sửa đổi, bổ sung đoạn 9 điểm c khoản 4 Điều 2 như sau:</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thành phố trực thuộc Trung ương để gửi văn bản về Bộ Công Thương.”</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5. Bãi bỏ đoạn 3 điểm g khoản 4 Điều 2.</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6. Sửa đổi, bổ sung đoạn 4 điểm l khoản 4, Điều 2 như sau:</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7. Bổ sung điểm q khoản 4 Điều 2 như sau:</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“q) Quản lý nhà nước và kiểm tra công tác nghiệm thu công trình xây dựng thuộc dự án đầu tư xây dựng công trình chuyên ngành công nghiệp trên địa bàn tỉnh thực hiện theo quy định pháp luật về xây dựng.”</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8. Sửa đổi, bổ sung đoạn 1 điểm a khoản 5 Điều 2 như sau:</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9. Bổ sung điểm n khoản 5 Điều 2 như sau:</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“n) Về dịch vụ logistics:</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Điều phối, hỗ trợ các Sở, ban, ngành, các Hiệp hội địa phương phát triển dịch vụ logistics và nâng cao năng lực doanh nghiệp logistics trên địa bàn tỉnh;</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Tuyên truyền, phổ biến, phát triển thị trường, kết nối doanh nghiệp dịch vụ logistics với doanh nghiệp sản xuất, xuất nhập khẩu trên địa bàn tỉnh.”</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b/>
          <w:bCs/>
          <w:sz w:val="24"/>
          <w:szCs w:val="24"/>
        </w:rPr>
        <w:t>Điều 2. Sửa đổi, bổ sung Thông tư số 25/2020/TT-BCT ngày 29 tháng 9 năm 2020 của Bộ trưởng Bộ Công Thương quy định về việc lập kế hoạch, báo cáo thực hiện kế hoạch sử dụng năng lượng tiết kiệm và hiệu quả; thực hiện kiểm toán năng lượng</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Sửa đổi khoản 1, Điều 6 Thông tư số 25/2020/TT-BCT như sau:</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“1. Sở Công Thương có trách nhiệm tổng hợp danh sách cơ sở sử dụng năng lượng trọng điểm của năm N-1 trên địa bàn, trình Ủy ban nhân dân tỉnh, thành phố trực thuộc trung ương để gửi văn bản về Bộ Công Thương trước ngày 01 tháng 02 năm N.”</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b/>
          <w:bCs/>
          <w:sz w:val="24"/>
          <w:szCs w:val="24"/>
        </w:rPr>
        <w:t>Điều 3. Trách nhiệm tổ chức thực hiện</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1. Ủy ban nhân dân, Chủ tịch Ủy ban nhân dân cấp tỉnh có trách nhiệm chỉ đạo, tổ chức triển khai thực hiện Thông tư này.</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2. Trong quá trình thực hiện Thông tư, nếu có vướng mắc hoặc cần bổ sung, sửa đổi, đề nghị Ủy ban nhân dân cấp tỉnh, Sở Công Thương, các tổ chức, cá nhân có liên quan báo cáo về Bộ Công Thương để xem xét, giải quyết theo thẩm quyền.</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b/>
          <w:bCs/>
          <w:sz w:val="24"/>
          <w:szCs w:val="24"/>
        </w:rPr>
        <w:t>Điều 4. Hiệu lực thi hành</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1. Thông tư này có hiệu lực thi hành kể từ ngày 22 tháng 8 năm 2023.</w:t>
      </w:r>
    </w:p>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sz w:val="24"/>
          <w:szCs w:val="24"/>
        </w:rPr>
        <w:t>2. Thông tư này bãi bỏ Quyết định số 612/QĐ-BCT ngày 04 tháng 4 năm 2022 của Bộ trưởng Bộ Công Thương đính chính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sidR="009050A2" w:rsidRPr="009050A2" w:rsidRDefault="009050A2" w:rsidP="009050A2">
      <w:pPr>
        <w:spacing w:before="120" w:after="100" w:afterAutospacing="1" w:line="240" w:lineRule="auto"/>
        <w:rPr>
          <w:rFonts w:eastAsia="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608"/>
        <w:gridCol w:w="4248"/>
      </w:tblGrid>
      <w:tr w:rsidR="009050A2" w:rsidRPr="009050A2" w:rsidTr="009050A2">
        <w:tc>
          <w:tcPr>
            <w:tcW w:w="4608" w:type="dxa"/>
            <w:tcMar>
              <w:top w:w="0" w:type="dxa"/>
              <w:left w:w="108" w:type="dxa"/>
              <w:bottom w:w="0" w:type="dxa"/>
              <w:right w:w="108" w:type="dxa"/>
            </w:tcMar>
            <w:hideMark/>
          </w:tcPr>
          <w:p w:rsidR="009050A2" w:rsidRPr="009050A2" w:rsidRDefault="009050A2" w:rsidP="009050A2">
            <w:pPr>
              <w:spacing w:before="120" w:after="100" w:afterAutospacing="1" w:line="240" w:lineRule="auto"/>
              <w:rPr>
                <w:rFonts w:eastAsia="Times New Roman" w:cs="Times New Roman"/>
                <w:sz w:val="24"/>
                <w:szCs w:val="24"/>
              </w:rPr>
            </w:pPr>
            <w:r w:rsidRPr="009050A2">
              <w:rPr>
                <w:rFonts w:eastAsia="Times New Roman" w:cs="Times New Roman"/>
                <w:b/>
                <w:bCs/>
                <w:i/>
                <w:iCs/>
                <w:sz w:val="24"/>
                <w:szCs w:val="24"/>
              </w:rPr>
              <w:br/>
              <w:t>Nơi nhận:</w:t>
            </w:r>
            <w:r w:rsidRPr="009050A2">
              <w:rPr>
                <w:rFonts w:eastAsia="Times New Roman" w:cs="Times New Roman"/>
                <w:b/>
                <w:bCs/>
                <w:i/>
                <w:iCs/>
                <w:sz w:val="24"/>
                <w:szCs w:val="24"/>
              </w:rPr>
              <w:br/>
            </w:r>
            <w:r w:rsidRPr="009050A2">
              <w:rPr>
                <w:rFonts w:eastAsia="Times New Roman" w:cs="Times New Roman"/>
                <w:sz w:val="16"/>
                <w:szCs w:val="16"/>
              </w:rPr>
              <w:t>- Ban Bí thư Trung ương Đảng;</w:t>
            </w:r>
            <w:r w:rsidRPr="009050A2">
              <w:rPr>
                <w:rFonts w:eastAsia="Times New Roman" w:cs="Times New Roman"/>
                <w:sz w:val="16"/>
                <w:szCs w:val="16"/>
              </w:rPr>
              <w:br/>
              <w:t>- Thủ tướng Chính phủ;</w:t>
            </w:r>
            <w:r w:rsidRPr="009050A2">
              <w:rPr>
                <w:rFonts w:eastAsia="Times New Roman" w:cs="Times New Roman"/>
                <w:sz w:val="16"/>
                <w:szCs w:val="16"/>
              </w:rPr>
              <w:br/>
              <w:t>- Các Phó Thủ tướng Chính phủ;</w:t>
            </w:r>
            <w:r w:rsidRPr="009050A2">
              <w:rPr>
                <w:rFonts w:eastAsia="Times New Roman" w:cs="Times New Roman"/>
                <w:sz w:val="16"/>
                <w:szCs w:val="16"/>
              </w:rPr>
              <w:br/>
              <w:t>- Các Bộ, cơ quan ngang Bộ, cơ quan thuộc Chính phủ;</w:t>
            </w:r>
            <w:r w:rsidRPr="009050A2">
              <w:rPr>
                <w:rFonts w:eastAsia="Times New Roman" w:cs="Times New Roman"/>
                <w:sz w:val="16"/>
                <w:szCs w:val="16"/>
              </w:rPr>
              <w:br/>
              <w:t>- Văn phòng Trung ương Đảng và các Ban của Đảng;</w:t>
            </w:r>
            <w:r w:rsidRPr="009050A2">
              <w:rPr>
                <w:rFonts w:eastAsia="Times New Roman" w:cs="Times New Roman"/>
                <w:sz w:val="16"/>
                <w:szCs w:val="16"/>
              </w:rPr>
              <w:br/>
              <w:t>- Văn phòng Quốc hội;</w:t>
            </w:r>
            <w:r w:rsidRPr="009050A2">
              <w:rPr>
                <w:rFonts w:eastAsia="Times New Roman" w:cs="Times New Roman"/>
                <w:sz w:val="16"/>
                <w:szCs w:val="16"/>
              </w:rPr>
              <w:br/>
              <w:t>- Văn phòng Chủ tịch nước;</w:t>
            </w:r>
            <w:r w:rsidRPr="009050A2">
              <w:rPr>
                <w:rFonts w:eastAsia="Times New Roman" w:cs="Times New Roman"/>
                <w:sz w:val="16"/>
                <w:szCs w:val="16"/>
              </w:rPr>
              <w:br/>
              <w:t>- Văn phòng Chính phủ;</w:t>
            </w:r>
            <w:r w:rsidRPr="009050A2">
              <w:rPr>
                <w:rFonts w:eastAsia="Times New Roman" w:cs="Times New Roman"/>
                <w:sz w:val="16"/>
                <w:szCs w:val="16"/>
              </w:rPr>
              <w:br/>
              <w:t>- Viện kiểm sát nhân dân tối cao;</w:t>
            </w:r>
            <w:r w:rsidRPr="009050A2">
              <w:rPr>
                <w:rFonts w:eastAsia="Times New Roman" w:cs="Times New Roman"/>
                <w:sz w:val="16"/>
                <w:szCs w:val="16"/>
              </w:rPr>
              <w:br/>
              <w:t>- Toà án nhân dân tối cao;</w:t>
            </w:r>
            <w:r w:rsidRPr="009050A2">
              <w:rPr>
                <w:rFonts w:eastAsia="Times New Roman" w:cs="Times New Roman"/>
                <w:sz w:val="16"/>
                <w:szCs w:val="16"/>
              </w:rPr>
              <w:br/>
              <w:t>- Kiểm toán nhà nước;</w:t>
            </w:r>
            <w:r w:rsidRPr="009050A2">
              <w:rPr>
                <w:rFonts w:eastAsia="Times New Roman" w:cs="Times New Roman"/>
                <w:sz w:val="16"/>
                <w:szCs w:val="16"/>
              </w:rPr>
              <w:br/>
              <w:t>- Hội đồng dân tộc và các Ủy ban của Quốc hội;</w:t>
            </w:r>
            <w:r w:rsidRPr="009050A2">
              <w:rPr>
                <w:rFonts w:eastAsia="Times New Roman" w:cs="Times New Roman"/>
                <w:sz w:val="16"/>
                <w:szCs w:val="16"/>
              </w:rPr>
              <w:br/>
              <w:t>- Ủy ban Trung ương Mặt trận Tổ quốc Việt Nam;</w:t>
            </w:r>
            <w:r w:rsidRPr="009050A2">
              <w:rPr>
                <w:rFonts w:eastAsia="Times New Roman" w:cs="Times New Roman"/>
                <w:sz w:val="16"/>
                <w:szCs w:val="16"/>
              </w:rPr>
              <w:br/>
              <w:t>- Cơ quan Trung ương của các tổ chức chính trị - xã hội;</w:t>
            </w:r>
            <w:r w:rsidRPr="009050A2">
              <w:rPr>
                <w:rFonts w:eastAsia="Times New Roman" w:cs="Times New Roman"/>
                <w:sz w:val="16"/>
                <w:szCs w:val="16"/>
              </w:rPr>
              <w:br/>
              <w:t>- Kiểm toán Nhà nước;</w:t>
            </w:r>
            <w:r w:rsidRPr="009050A2">
              <w:rPr>
                <w:rFonts w:eastAsia="Times New Roman" w:cs="Times New Roman"/>
                <w:sz w:val="16"/>
                <w:szCs w:val="16"/>
              </w:rPr>
              <w:br/>
              <w:t>- HĐND, UBND tỉnh, thành phố trực thuộc Trung ương;</w:t>
            </w:r>
            <w:r w:rsidRPr="009050A2">
              <w:rPr>
                <w:rFonts w:eastAsia="Times New Roman" w:cs="Times New Roman"/>
                <w:sz w:val="16"/>
                <w:szCs w:val="16"/>
              </w:rPr>
              <w:br/>
              <w:t>- Các Sở Công Thương, Sở Nội vụ tỉnh, thành phố trực thuộc Trung ương;</w:t>
            </w:r>
            <w:r w:rsidRPr="009050A2">
              <w:rPr>
                <w:rFonts w:eastAsia="Times New Roman" w:cs="Times New Roman"/>
                <w:sz w:val="16"/>
                <w:szCs w:val="16"/>
              </w:rPr>
              <w:br/>
              <w:t>- Bộ Công Thương: Bộ trưởng, các Thứ trưởng, các cơ quan, đơn vị thuộc, trực thuộc Bộ;</w:t>
            </w:r>
            <w:r w:rsidRPr="009050A2">
              <w:rPr>
                <w:rFonts w:eastAsia="Times New Roman" w:cs="Times New Roman"/>
                <w:sz w:val="16"/>
                <w:szCs w:val="16"/>
              </w:rPr>
              <w:br/>
              <w:t>- Cục Kiểm tra VBQPPL (Bộ Tư pháp);</w:t>
            </w:r>
            <w:r w:rsidRPr="009050A2">
              <w:rPr>
                <w:rFonts w:eastAsia="Times New Roman" w:cs="Times New Roman"/>
                <w:sz w:val="16"/>
                <w:szCs w:val="16"/>
              </w:rPr>
              <w:br/>
              <w:t>- Công báo; Website Chính phủ; Website Bộ Công Thương;</w:t>
            </w:r>
            <w:r w:rsidRPr="009050A2">
              <w:rPr>
                <w:rFonts w:eastAsia="Times New Roman" w:cs="Times New Roman"/>
                <w:sz w:val="16"/>
                <w:szCs w:val="16"/>
              </w:rPr>
              <w:br/>
              <w:t>- Lưu: VT, TCCB.</w:t>
            </w:r>
          </w:p>
        </w:tc>
        <w:tc>
          <w:tcPr>
            <w:tcW w:w="4248" w:type="dxa"/>
            <w:tcMar>
              <w:top w:w="0" w:type="dxa"/>
              <w:left w:w="108" w:type="dxa"/>
              <w:bottom w:w="0" w:type="dxa"/>
              <w:right w:w="108" w:type="dxa"/>
            </w:tcMar>
            <w:hideMark/>
          </w:tcPr>
          <w:p w:rsidR="009050A2" w:rsidRPr="009050A2" w:rsidRDefault="009050A2" w:rsidP="009050A2">
            <w:pPr>
              <w:spacing w:before="120" w:after="100" w:afterAutospacing="1" w:line="240" w:lineRule="auto"/>
              <w:jc w:val="center"/>
              <w:rPr>
                <w:rFonts w:eastAsia="Times New Roman" w:cs="Times New Roman"/>
                <w:sz w:val="24"/>
                <w:szCs w:val="24"/>
              </w:rPr>
            </w:pPr>
            <w:r w:rsidRPr="009050A2">
              <w:rPr>
                <w:rFonts w:eastAsia="Times New Roman" w:cs="Times New Roman"/>
                <w:b/>
                <w:bCs/>
                <w:sz w:val="24"/>
                <w:szCs w:val="24"/>
              </w:rPr>
              <w:t>KT. BỘ TRƯỞNG</w:t>
            </w:r>
            <w:r w:rsidRPr="009050A2">
              <w:rPr>
                <w:rFonts w:eastAsia="Times New Roman" w:cs="Times New Roman"/>
                <w:b/>
                <w:bCs/>
                <w:sz w:val="24"/>
                <w:szCs w:val="24"/>
              </w:rPr>
              <w:br/>
              <w:t>THỨ TRƯỞNG</w:t>
            </w:r>
            <w:r w:rsidRPr="009050A2">
              <w:rPr>
                <w:rFonts w:eastAsia="Times New Roman" w:cs="Times New Roman"/>
                <w:b/>
                <w:bCs/>
                <w:sz w:val="24"/>
                <w:szCs w:val="24"/>
              </w:rPr>
              <w:br/>
            </w:r>
            <w:r w:rsidRPr="009050A2">
              <w:rPr>
                <w:rFonts w:eastAsia="Times New Roman" w:cs="Times New Roman"/>
                <w:b/>
                <w:bCs/>
                <w:sz w:val="24"/>
                <w:szCs w:val="24"/>
              </w:rPr>
              <w:br/>
            </w:r>
            <w:r w:rsidRPr="009050A2">
              <w:rPr>
                <w:rFonts w:eastAsia="Times New Roman" w:cs="Times New Roman"/>
                <w:b/>
                <w:bCs/>
                <w:sz w:val="24"/>
                <w:szCs w:val="24"/>
              </w:rPr>
              <w:br/>
            </w:r>
            <w:r w:rsidRPr="009050A2">
              <w:rPr>
                <w:rFonts w:eastAsia="Times New Roman" w:cs="Times New Roman"/>
                <w:b/>
                <w:bCs/>
                <w:sz w:val="24"/>
                <w:szCs w:val="24"/>
              </w:rPr>
              <w:br/>
            </w:r>
            <w:r w:rsidRPr="009050A2">
              <w:rPr>
                <w:rFonts w:eastAsia="Times New Roman" w:cs="Times New Roman"/>
                <w:b/>
                <w:bCs/>
                <w:sz w:val="24"/>
                <w:szCs w:val="24"/>
              </w:rPr>
              <w:br/>
              <w:t>Nguyễn Sinh Nhật Tân</w:t>
            </w:r>
          </w:p>
        </w:tc>
      </w:tr>
    </w:tbl>
    <w:p w:rsidR="001D0A37" w:rsidRDefault="001D0A37"/>
    <w:sectPr w:rsidR="001D0A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A2"/>
    <w:rsid w:val="001D0A37"/>
    <w:rsid w:val="004F7CCD"/>
    <w:rsid w:val="006D1FA6"/>
    <w:rsid w:val="0090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CD7A5-FF3E-482E-9C58-6F466702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0A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50A2"/>
    <w:rPr>
      <w:b/>
      <w:bCs/>
    </w:rPr>
  </w:style>
  <w:style w:type="character" w:styleId="Emphasis">
    <w:name w:val="Emphasis"/>
    <w:basedOn w:val="DefaultParagraphFont"/>
    <w:uiPriority w:val="20"/>
    <w:qFormat/>
    <w:rsid w:val="009050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5082">
      <w:bodyDiv w:val="1"/>
      <w:marLeft w:val="0"/>
      <w:marRight w:val="0"/>
      <w:marTop w:val="0"/>
      <w:marBottom w:val="0"/>
      <w:divBdr>
        <w:top w:val="none" w:sz="0" w:space="0" w:color="auto"/>
        <w:left w:val="none" w:sz="0" w:space="0" w:color="auto"/>
        <w:bottom w:val="none" w:sz="0" w:space="0" w:color="auto"/>
        <w:right w:val="none" w:sz="0" w:space="0" w:color="auto"/>
      </w:divBdr>
      <w:divsChild>
        <w:div w:id="1284578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2023-07-18T07:31:00Z</dcterms:created>
  <dcterms:modified xsi:type="dcterms:W3CDTF">2023-07-18T07:32:00Z</dcterms:modified>
</cp:coreProperties>
</file>