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B47B0" w14:paraId="49286D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860A4D" w14:textId="77777777" w:rsidR="006B47B0" w:rsidRDefault="006B47B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46188C" w14:textId="77777777" w:rsidR="006B47B0" w:rsidRDefault="006B47B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6B47B0" w14:paraId="01E80F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0D15DA" w14:textId="77777777" w:rsidR="006B47B0" w:rsidRDefault="006B47B0">
            <w:pPr>
              <w:spacing w:before="120"/>
              <w:jc w:val="center"/>
            </w:pPr>
            <w:r>
              <w:rPr>
                <w:lang w:val="vi-VN"/>
              </w:rPr>
              <w:t>Số: 156/2016/NĐ-CP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0C2B5B" w14:textId="77777777" w:rsidR="006B47B0" w:rsidRDefault="006B47B0">
            <w:pPr>
              <w:spacing w:before="120"/>
              <w:jc w:val="right"/>
            </w:pPr>
            <w:r>
              <w:rPr>
                <w:i/>
                <w:iCs/>
                <w:lang w:val="vi-VN"/>
              </w:rPr>
              <w:t>Hà Nội, ngày 21 tháng 11 năm 2016</w:t>
            </w:r>
          </w:p>
        </w:tc>
      </w:tr>
    </w:tbl>
    <w:p w14:paraId="3EB16D2D" w14:textId="77777777" w:rsidR="006B47B0" w:rsidRDefault="006B47B0">
      <w:pPr>
        <w:spacing w:before="120" w:after="280" w:afterAutospacing="1"/>
      </w:pPr>
      <w:r>
        <w:t> </w:t>
      </w:r>
    </w:p>
    <w:p w14:paraId="37B6402D" w14:textId="77777777" w:rsidR="006B47B0" w:rsidRDefault="006B47B0">
      <w:pPr>
        <w:spacing w:before="120" w:after="280" w:afterAutospacing="1"/>
        <w:jc w:val="center"/>
      </w:pPr>
      <w:r>
        <w:rPr>
          <w:b/>
          <w:bCs/>
          <w:lang w:val="vi-VN"/>
        </w:rPr>
        <w:t>NGHỊ ĐỊNH</w:t>
      </w:r>
    </w:p>
    <w:p w14:paraId="65C8CD3F" w14:textId="77777777" w:rsidR="006B47B0" w:rsidRDefault="006B47B0">
      <w:pPr>
        <w:spacing w:before="120" w:after="280" w:afterAutospacing="1"/>
        <w:jc w:val="center"/>
      </w:pPr>
      <w:r>
        <w:rPr>
          <w:lang w:val="vi-VN"/>
        </w:rPr>
        <w:t>SỬA ĐỔI, BỔ SUNG MỘT SỐ ĐIỀU CỦA NGHỊ ĐỊNH SỐ 27/2007/NĐ-CP NGÀY 23 THÁNG 02 NĂM 2007 CỦA CHÍNH PHỦ VỀ GIAO DỊCH ĐIỆN TỬ TRONG HOẠT ĐỘNG TÀI CHÍNH</w:t>
      </w:r>
    </w:p>
    <w:p w14:paraId="6376CDFD" w14:textId="77777777" w:rsidR="006B47B0" w:rsidRDefault="006B47B0">
      <w:pPr>
        <w:spacing w:before="120" w:after="280" w:afterAutospacing="1"/>
      </w:pPr>
      <w:r>
        <w:rPr>
          <w:i/>
          <w:iCs/>
          <w:lang w:val="vi-VN"/>
        </w:rPr>
        <w:t>Căn cứ Luật tổ chức Chính phủ ngày 19 tháng 6 năm 2015;</w:t>
      </w:r>
    </w:p>
    <w:p w14:paraId="5FC95686" w14:textId="77777777" w:rsidR="006B47B0" w:rsidRDefault="006B47B0">
      <w:pPr>
        <w:spacing w:before="120" w:after="280" w:afterAutospacing="1"/>
      </w:pPr>
      <w:r>
        <w:rPr>
          <w:i/>
          <w:iCs/>
          <w:lang w:val="vi-VN"/>
        </w:rPr>
        <w:t>Căn cứ Luật giao dịch điện tử ngày 29 tháng 11 năm 2005;</w:t>
      </w:r>
    </w:p>
    <w:p w14:paraId="4A0936EF" w14:textId="77777777" w:rsidR="006B47B0" w:rsidRDefault="006B47B0">
      <w:pPr>
        <w:spacing w:before="120" w:after="280" w:afterAutospacing="1"/>
      </w:pPr>
      <w:r>
        <w:rPr>
          <w:i/>
          <w:iCs/>
        </w:rPr>
        <w:t xml:space="preserve">Theo </w:t>
      </w:r>
      <w:r>
        <w:rPr>
          <w:i/>
          <w:iCs/>
          <w:lang w:val="vi-VN"/>
        </w:rPr>
        <w:t>đề nghị của Bộ trưởng Bộ Tài chính;</w:t>
      </w:r>
    </w:p>
    <w:p w14:paraId="5E8D4A03" w14:textId="77777777" w:rsidR="006B47B0" w:rsidRDefault="006B47B0">
      <w:pPr>
        <w:spacing w:before="120" w:after="280" w:afterAutospacing="1"/>
      </w:pPr>
      <w:r>
        <w:rPr>
          <w:i/>
          <w:iCs/>
          <w:lang w:val="vi-VN"/>
        </w:rPr>
        <w:t>Chính phủ ban hành Nghị định sửa đ</w:t>
      </w:r>
      <w:r>
        <w:rPr>
          <w:i/>
          <w:iCs/>
        </w:rPr>
        <w:t>ổ</w:t>
      </w:r>
      <w:r>
        <w:rPr>
          <w:i/>
          <w:iCs/>
          <w:lang w:val="vi-VN"/>
        </w:rPr>
        <w:t>i, bổ sung một s</w:t>
      </w:r>
      <w:r>
        <w:rPr>
          <w:i/>
          <w:iCs/>
        </w:rPr>
        <w:t xml:space="preserve">ố </w:t>
      </w:r>
      <w:r>
        <w:rPr>
          <w:i/>
          <w:iCs/>
          <w:lang w:val="vi-VN"/>
        </w:rPr>
        <w:t>điều của Nghị định số 27/2007/NĐ-CP ngày 23 tháng 02 năm 2007 của Chính phủ về giao dịch đ</w:t>
      </w:r>
      <w:proofErr w:type="spellStart"/>
      <w:r>
        <w:rPr>
          <w:i/>
          <w:iCs/>
        </w:rPr>
        <w:t>i</w:t>
      </w:r>
      <w:proofErr w:type="spellEnd"/>
      <w:r>
        <w:rPr>
          <w:i/>
          <w:iCs/>
          <w:lang w:val="vi-VN"/>
        </w:rPr>
        <w:t>ện tử trong hoạt động tài chính.</w:t>
      </w:r>
    </w:p>
    <w:p w14:paraId="6D5D3119" w14:textId="77777777" w:rsidR="006B47B0" w:rsidRDefault="006B47B0">
      <w:pPr>
        <w:spacing w:before="120" w:after="280" w:afterAutospacing="1"/>
      </w:pPr>
      <w:r>
        <w:rPr>
          <w:b/>
          <w:bCs/>
          <w:lang w:val="vi-VN"/>
        </w:rPr>
        <w:t xml:space="preserve">Điều 1. Sửa đổi, bổ sung </w:t>
      </w:r>
      <w:bookmarkStart w:id="1" w:name="dc_1"/>
      <w:r>
        <w:rPr>
          <w:b/>
          <w:bCs/>
          <w:lang w:val="vi-VN"/>
        </w:rPr>
        <w:t>Điều 14 Nghị định số 27/2007/NĐ-CP</w:t>
      </w:r>
      <w:bookmarkEnd w:id="1"/>
      <w:r>
        <w:rPr>
          <w:b/>
          <w:bCs/>
          <w:lang w:val="vi-VN"/>
        </w:rPr>
        <w:t xml:space="preserve"> ngày 23 tháng 02 năm 2007 của Chính phủ về giao dịch điện tử trong hoạt động tài chính như sau:</w:t>
      </w:r>
    </w:p>
    <w:p w14:paraId="2B318E62" w14:textId="77777777" w:rsidR="006B47B0" w:rsidRDefault="006B47B0">
      <w:pPr>
        <w:spacing w:before="120" w:after="280" w:afterAutospacing="1"/>
      </w:pPr>
      <w:r>
        <w:rPr>
          <w:b/>
          <w:bCs/>
          <w:lang w:val="vi-VN"/>
        </w:rPr>
        <w:t>“Điều 14. Sử dụng chữ ký số</w:t>
      </w:r>
    </w:p>
    <w:p w14:paraId="27301AA6" w14:textId="77777777" w:rsidR="006B47B0" w:rsidRDefault="006B47B0">
      <w:pPr>
        <w:spacing w:before="120" w:after="280" w:afterAutospacing="1"/>
      </w:pPr>
      <w:r>
        <w:rPr>
          <w:lang w:val="vi-VN"/>
        </w:rPr>
        <w:t>1. Các loại chứng thư số được sử dụng để ký số trong hoạt động tài chính giữa tổ chức, cá nhân với cơ quan tài chính: Chứng thư số được cấp bởi tổ chức cung cấp dịch vụ chứng thực chữ ký số công cộng; chứng thư số được cấp bởi tổ chức cung cấp dịch vụ chứng thực chữ ký s</w:t>
      </w:r>
      <w:r>
        <w:t xml:space="preserve">ố </w:t>
      </w:r>
      <w:r>
        <w:rPr>
          <w:lang w:val="vi-VN"/>
        </w:rPr>
        <w:t>chuyên dùng phục vụ các cơ quan thuộc hệ thống chính trị; chứng thư số nước ngoài được công nhận; chứng thư số nước ngoài được chấp nhận tại Việt Nam; chứng thư số nước ngoài được chấp nhận trong giao dịch quốc tế.</w:t>
      </w:r>
    </w:p>
    <w:p w14:paraId="7B7B0BFF" w14:textId="77777777" w:rsidR="006B47B0" w:rsidRDefault="006B47B0">
      <w:pPr>
        <w:spacing w:before="120" w:after="280" w:afterAutospacing="1"/>
      </w:pPr>
      <w:r>
        <w:rPr>
          <w:lang w:val="vi-VN"/>
        </w:rPr>
        <w:t>Điều kiện, phạm vi và đối tượng sử dụng đối với từng loại chứng thư số trong hoạt động tài chính phải tuân theo quy định của pháp luật về chữ ký s</w:t>
      </w:r>
      <w:r>
        <w:t xml:space="preserve">ố </w:t>
      </w:r>
      <w:r>
        <w:rPr>
          <w:lang w:val="vi-VN"/>
        </w:rPr>
        <w:t>và dịch vụ chứng thực chữ ký số.</w:t>
      </w:r>
    </w:p>
    <w:p w14:paraId="3A883098" w14:textId="77777777" w:rsidR="006B47B0" w:rsidRDefault="006B47B0">
      <w:pPr>
        <w:spacing w:before="120" w:after="280" w:afterAutospacing="1"/>
      </w:pPr>
      <w:r>
        <w:rPr>
          <w:lang w:val="vi-VN"/>
        </w:rPr>
        <w:t>2. Cơ quan tài chính tham gia giao dịch điện tử có ràng buộc bởi điều ước quốc tế về chữ ký số mà Cộng hòa xã hội chủ nghĩa Việt Nam là thành viên thì phải thực hiện theo điều ước quốc tế đó.</w:t>
      </w:r>
    </w:p>
    <w:p w14:paraId="15BD13E8" w14:textId="77777777" w:rsidR="006B47B0" w:rsidRDefault="006B47B0">
      <w:pPr>
        <w:spacing w:before="120" w:after="280" w:afterAutospacing="1"/>
      </w:pPr>
      <w:r>
        <w:rPr>
          <w:lang w:val="vi-VN"/>
        </w:rPr>
        <w:t xml:space="preserve">3. Bộ Tài chính quy định cụ thể các giao </w:t>
      </w:r>
      <w:r>
        <w:t>d</w:t>
      </w:r>
      <w:r>
        <w:rPr>
          <w:lang w:val="vi-VN"/>
        </w:rPr>
        <w:t>ịch điện tử trong hoạt động tài chính thuộc phạm vi quản lý nhà nước của Bộ Tài chính bắt buộc phải sử dụng chữ ký số.”</w:t>
      </w:r>
    </w:p>
    <w:p w14:paraId="11B17936" w14:textId="77777777" w:rsidR="006B47B0" w:rsidRDefault="006B47B0">
      <w:pPr>
        <w:spacing w:before="120" w:after="280" w:afterAutospacing="1"/>
      </w:pPr>
      <w:r>
        <w:rPr>
          <w:b/>
          <w:bCs/>
          <w:lang w:val="vi-VN"/>
        </w:rPr>
        <w:t>Điều 2. Hiệu lực thi hành</w:t>
      </w:r>
    </w:p>
    <w:p w14:paraId="6083BC7F" w14:textId="77777777" w:rsidR="006B47B0" w:rsidRDefault="006B47B0">
      <w:pPr>
        <w:spacing w:before="120" w:after="280" w:afterAutospacing="1"/>
      </w:pPr>
      <w:r>
        <w:rPr>
          <w:lang w:val="vi-VN"/>
        </w:rPr>
        <w:lastRenderedPageBreak/>
        <w:t>1. Nghị định này có hiệu lực thi hành từ ngày 10 tháng 01 năm 2017.</w:t>
      </w:r>
    </w:p>
    <w:p w14:paraId="38E33099" w14:textId="77777777" w:rsidR="006B47B0" w:rsidRDefault="006B47B0">
      <w:pPr>
        <w:spacing w:before="120" w:after="280" w:afterAutospacing="1"/>
      </w:pPr>
      <w:r>
        <w:rPr>
          <w:lang w:val="vi-VN"/>
        </w:rPr>
        <w:t xml:space="preserve">2. Bãi bỏ quy định tại </w:t>
      </w:r>
      <w:bookmarkStart w:id="2" w:name="dc_2"/>
      <w:r>
        <w:rPr>
          <w:lang w:val="vi-VN"/>
        </w:rPr>
        <w:t>khoản 5 Điều 3, Điều 13, điểm g và điểm h khoản 1 Điều 16 Nghị định số 27/2007/NĐ-CP</w:t>
      </w:r>
      <w:bookmarkEnd w:id="2"/>
      <w:r>
        <w:rPr>
          <w:lang w:val="vi-VN"/>
        </w:rPr>
        <w:t>.</w:t>
      </w:r>
    </w:p>
    <w:p w14:paraId="7ECC3CF6" w14:textId="77777777" w:rsidR="006B47B0" w:rsidRDefault="006B47B0">
      <w:pPr>
        <w:spacing w:before="120" w:after="280" w:afterAutospacing="1"/>
      </w:pPr>
      <w:r>
        <w:rPr>
          <w:lang w:val="vi-VN"/>
        </w:rPr>
        <w:t>3. Các Bộ trưởng, Thủ trưởng cơ quan ngang bộ, Thủ trưởng cơ quan thuộc Chính phủ, Chủ tịch Ủy ban nhân dân các tỉnh, thành phố trực thuộc trung ương, các tổ chức và cá nhân có liên quan chịu trách nhiệm thi hành Nghị định này./</w:t>
      </w:r>
      <w:r>
        <w:t>.</w:t>
      </w:r>
    </w:p>
    <w:p w14:paraId="7C4BB255" w14:textId="77777777" w:rsidR="006B47B0" w:rsidRDefault="006B47B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6B47B0" w14:paraId="2C5F34D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F056894" w14:textId="77777777" w:rsidR="006B47B0" w:rsidRDefault="006B47B0">
            <w:pPr>
              <w:spacing w:before="120" w:after="280" w:afterAutospacing="1"/>
            </w:pPr>
            <w:r>
              <w:rPr>
                <w:b/>
                <w:bCs/>
                <w:i/>
                <w:iCs/>
              </w:rPr>
              <w:t> </w:t>
            </w:r>
          </w:p>
          <w:p w14:paraId="0D89DFCB" w14:textId="77777777" w:rsidR="006B47B0" w:rsidRDefault="006B47B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 xml:space="preserve">nh, thành phố trực thuộc </w:t>
            </w:r>
            <w:r>
              <w:rPr>
                <w:sz w:val="16"/>
              </w:rPr>
              <w:t>tr</w:t>
            </w:r>
            <w:r>
              <w:rPr>
                <w:sz w:val="16"/>
                <w:lang w:val="vi-VN"/>
              </w:rPr>
              <w:t>ung ư</w:t>
            </w:r>
            <w:proofErr w:type="spellStart"/>
            <w:r>
              <w:rPr>
                <w:sz w:val="16"/>
              </w:rPr>
              <w:t>ơng</w:t>
            </w:r>
            <w:proofErr w:type="spellEnd"/>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(3b)</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D5B231E" w14:textId="77777777" w:rsidR="006B47B0" w:rsidRDefault="006B47B0">
            <w:pPr>
              <w:spacing w:before="120"/>
              <w:jc w:val="center"/>
            </w:pPr>
            <w:r>
              <w:rPr>
                <w:b/>
                <w:bCs/>
              </w:rPr>
              <w:t>TM. CHÍNH PHỦ</w:t>
            </w:r>
            <w:r>
              <w:rPr>
                <w:b/>
                <w:bCs/>
              </w:rPr>
              <w:br/>
              <w:t>THỦ TƯỚNG</w:t>
            </w:r>
            <w:r>
              <w:rPr>
                <w:b/>
                <w:bCs/>
              </w:rPr>
              <w:br/>
            </w:r>
            <w:r>
              <w:rPr>
                <w:b/>
                <w:bCs/>
              </w:rPr>
              <w:br/>
            </w:r>
            <w:r>
              <w:rPr>
                <w:b/>
                <w:bCs/>
              </w:rPr>
              <w:br/>
            </w:r>
            <w:r>
              <w:rPr>
                <w:b/>
                <w:bCs/>
              </w:rPr>
              <w:br/>
            </w:r>
            <w:r>
              <w:rPr>
                <w:b/>
                <w:bCs/>
              </w:rPr>
              <w:br/>
            </w:r>
            <w:proofErr w:type="spellStart"/>
            <w:r>
              <w:rPr>
                <w:b/>
                <w:bCs/>
              </w:rPr>
              <w:t>Nguyễn</w:t>
            </w:r>
            <w:proofErr w:type="spellEnd"/>
            <w:r>
              <w:rPr>
                <w:b/>
                <w:bCs/>
              </w:rPr>
              <w:t xml:space="preserve"> </w:t>
            </w:r>
            <w:proofErr w:type="spellStart"/>
            <w:r>
              <w:rPr>
                <w:b/>
                <w:bCs/>
              </w:rPr>
              <w:t>Xuân</w:t>
            </w:r>
            <w:proofErr w:type="spellEnd"/>
            <w:r>
              <w:rPr>
                <w:b/>
                <w:bCs/>
              </w:rPr>
              <w:t xml:space="preserve"> </w:t>
            </w:r>
            <w:proofErr w:type="spellStart"/>
            <w:r>
              <w:rPr>
                <w:b/>
                <w:bCs/>
              </w:rPr>
              <w:t>Phúc</w:t>
            </w:r>
            <w:proofErr w:type="spellEnd"/>
          </w:p>
        </w:tc>
      </w:tr>
    </w:tbl>
    <w:p w14:paraId="5B7A7777" w14:textId="77777777" w:rsidR="006B47B0" w:rsidRDefault="006B47B0">
      <w:pPr>
        <w:spacing w:before="120" w:after="280" w:afterAutospacing="1"/>
      </w:pPr>
      <w:r>
        <w:rPr>
          <w:b/>
          <w:bCs/>
        </w:rPr>
        <w:t> </w:t>
      </w:r>
    </w:p>
    <w:sectPr w:rsidR="006B47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06"/>
    <w:rsid w:val="00154557"/>
    <w:rsid w:val="005A3A06"/>
    <w:rsid w:val="006B47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71A72"/>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3070</CharactersWithSpaces>
  <SharedDoc>false</SharedDoc>
  <HyperlinkBase>http://vanbanphapluat.co/nghi-dinh-156-2016-nd-cp-sua-doi-27-2007-nd-cp-giao-dich-dien-tu-trong-hoat-dong-tai-chinh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2022-08-01T05:01:00Z</dcterms:created>
  <dcterms:modified xsi:type="dcterms:W3CDTF">2022-08-01T05:01:00Z</dcterms:modified>
</cp:coreProperties>
</file>