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48"/>
        <w:gridCol w:w="5508"/>
      </w:tblGrid>
      <w:tr w:rsidR="00C40D0B" w:rsidRPr="00EB052D">
        <w:tc>
          <w:tcPr>
            <w:tcW w:w="3348" w:type="dxa"/>
          </w:tcPr>
          <w:p w:rsidR="00C40D0B" w:rsidRPr="00EB052D" w:rsidRDefault="00C40D0B" w:rsidP="00EB052D">
            <w:pPr>
              <w:spacing w:before="120"/>
              <w:jc w:val="center"/>
              <w:rPr>
                <w:rFonts w:ascii="Arial" w:hAnsi="Arial" w:cs="Arial"/>
                <w:b/>
                <w:sz w:val="20"/>
                <w:szCs w:val="20"/>
              </w:rPr>
            </w:pPr>
            <w:r w:rsidRPr="00EB052D">
              <w:rPr>
                <w:rFonts w:ascii="Arial" w:hAnsi="Arial" w:cs="Arial"/>
                <w:b/>
                <w:sz w:val="20"/>
                <w:szCs w:val="20"/>
              </w:rPr>
              <w:t xml:space="preserve">ỦY BAN NHÂN DÂN </w:t>
            </w:r>
            <w:r w:rsidR="00621593" w:rsidRPr="00EB052D">
              <w:rPr>
                <w:rFonts w:ascii="Arial" w:hAnsi="Arial" w:cs="Arial"/>
                <w:b/>
                <w:sz w:val="20"/>
                <w:szCs w:val="20"/>
              </w:rPr>
              <w:br/>
            </w:r>
            <w:r w:rsidRPr="00EB052D">
              <w:rPr>
                <w:rFonts w:ascii="Arial" w:hAnsi="Arial" w:cs="Arial"/>
                <w:b/>
                <w:sz w:val="20"/>
                <w:szCs w:val="20"/>
              </w:rPr>
              <w:t>TỈNH ĐỒNG THÁP</w:t>
            </w:r>
            <w:r w:rsidRPr="00EB052D">
              <w:rPr>
                <w:rFonts w:ascii="Arial" w:hAnsi="Arial" w:cs="Arial"/>
                <w:b/>
                <w:sz w:val="20"/>
                <w:szCs w:val="20"/>
              </w:rPr>
              <w:br/>
              <w:t>-------</w:t>
            </w:r>
          </w:p>
        </w:tc>
        <w:tc>
          <w:tcPr>
            <w:tcW w:w="5508" w:type="dxa"/>
          </w:tcPr>
          <w:p w:rsidR="00C40D0B" w:rsidRPr="00EB052D" w:rsidRDefault="00C40D0B" w:rsidP="00EB052D">
            <w:pPr>
              <w:spacing w:before="120"/>
              <w:jc w:val="center"/>
              <w:rPr>
                <w:rFonts w:ascii="Arial" w:hAnsi="Arial" w:cs="Arial"/>
                <w:sz w:val="20"/>
                <w:szCs w:val="20"/>
              </w:rPr>
            </w:pPr>
            <w:r w:rsidRPr="00EB052D">
              <w:rPr>
                <w:rFonts w:ascii="Arial" w:hAnsi="Arial" w:cs="Arial"/>
                <w:b/>
                <w:sz w:val="20"/>
                <w:szCs w:val="20"/>
              </w:rPr>
              <w:t>CỘNG HÒA XÃ HỘI CHỦ NGHĨA VIỆT NAM</w:t>
            </w:r>
            <w:r w:rsidRPr="00EB052D">
              <w:rPr>
                <w:rFonts w:ascii="Arial" w:hAnsi="Arial" w:cs="Arial"/>
                <w:b/>
                <w:sz w:val="20"/>
                <w:szCs w:val="20"/>
              </w:rPr>
              <w:br/>
              <w:t xml:space="preserve">Độc lập - Tự do - Hạnh phúc </w:t>
            </w:r>
            <w:r w:rsidRPr="00EB052D">
              <w:rPr>
                <w:rFonts w:ascii="Arial" w:hAnsi="Arial" w:cs="Arial"/>
                <w:b/>
                <w:sz w:val="20"/>
                <w:szCs w:val="20"/>
              </w:rPr>
              <w:br/>
              <w:t>---------------</w:t>
            </w:r>
          </w:p>
        </w:tc>
      </w:tr>
      <w:tr w:rsidR="00C40D0B" w:rsidRPr="00EB052D">
        <w:tc>
          <w:tcPr>
            <w:tcW w:w="3348" w:type="dxa"/>
          </w:tcPr>
          <w:p w:rsidR="00C40D0B" w:rsidRPr="00EB052D" w:rsidRDefault="00C40D0B" w:rsidP="00EB052D">
            <w:pPr>
              <w:spacing w:before="120"/>
              <w:jc w:val="center"/>
              <w:rPr>
                <w:rFonts w:ascii="Arial" w:hAnsi="Arial" w:cs="Arial"/>
                <w:sz w:val="20"/>
                <w:szCs w:val="20"/>
              </w:rPr>
            </w:pPr>
            <w:r w:rsidRPr="00EB052D">
              <w:rPr>
                <w:rFonts w:ascii="Arial" w:hAnsi="Arial" w:cs="Arial"/>
                <w:sz w:val="20"/>
                <w:szCs w:val="20"/>
              </w:rPr>
              <w:t xml:space="preserve">Số: </w:t>
            </w:r>
            <w:r w:rsidR="00621593" w:rsidRPr="00EB052D">
              <w:rPr>
                <w:rFonts w:ascii="Arial" w:hAnsi="Arial" w:cs="Arial"/>
                <w:sz w:val="20"/>
                <w:szCs w:val="20"/>
              </w:rPr>
              <w:t>1151/QĐ-UBND-HC</w:t>
            </w:r>
          </w:p>
        </w:tc>
        <w:tc>
          <w:tcPr>
            <w:tcW w:w="5508" w:type="dxa"/>
          </w:tcPr>
          <w:p w:rsidR="00C40D0B" w:rsidRPr="00EB052D" w:rsidRDefault="00621593" w:rsidP="00EB052D">
            <w:pPr>
              <w:spacing w:before="120"/>
              <w:jc w:val="right"/>
              <w:rPr>
                <w:rFonts w:ascii="Arial" w:hAnsi="Arial" w:cs="Arial"/>
                <w:i/>
                <w:sz w:val="20"/>
                <w:szCs w:val="20"/>
              </w:rPr>
            </w:pPr>
            <w:r w:rsidRPr="00EB052D">
              <w:rPr>
                <w:rFonts w:ascii="Arial" w:hAnsi="Arial" w:cs="Arial"/>
                <w:i/>
                <w:sz w:val="20"/>
                <w:szCs w:val="20"/>
              </w:rPr>
              <w:t>Đồng Tháp, ngày 21 tháng 10 năm 2022</w:t>
            </w:r>
          </w:p>
        </w:tc>
      </w:tr>
    </w:tbl>
    <w:p w:rsidR="00C40D0B" w:rsidRPr="00EB052D" w:rsidRDefault="00C40D0B" w:rsidP="00EB052D">
      <w:pPr>
        <w:widowControl w:val="0"/>
        <w:autoSpaceDE w:val="0"/>
        <w:autoSpaceDN w:val="0"/>
        <w:adjustRightInd w:val="0"/>
        <w:spacing w:before="120"/>
        <w:jc w:val="center"/>
        <w:rPr>
          <w:rFonts w:ascii="Arial" w:hAnsi="Arial" w:cs="Arial"/>
          <w:sz w:val="20"/>
          <w:szCs w:val="26"/>
        </w:rPr>
      </w:pPr>
    </w:p>
    <w:p w:rsidR="00C32870" w:rsidRPr="00EB052D" w:rsidRDefault="00621593" w:rsidP="00EB052D">
      <w:pPr>
        <w:widowControl w:val="0"/>
        <w:autoSpaceDE w:val="0"/>
        <w:autoSpaceDN w:val="0"/>
        <w:adjustRightInd w:val="0"/>
        <w:spacing w:before="120"/>
        <w:jc w:val="center"/>
        <w:rPr>
          <w:rFonts w:ascii="Arial" w:hAnsi="Arial" w:cs="Arial"/>
          <w:b/>
          <w:szCs w:val="26"/>
        </w:rPr>
      </w:pPr>
      <w:r w:rsidRPr="00EB052D">
        <w:rPr>
          <w:rFonts w:ascii="Arial" w:hAnsi="Arial" w:cs="Arial"/>
          <w:b/>
          <w:szCs w:val="26"/>
        </w:rPr>
        <w:t>QUYẾT ĐỊNH</w:t>
      </w:r>
    </w:p>
    <w:p w:rsidR="00C32870" w:rsidRPr="00EB052D" w:rsidRDefault="00621593" w:rsidP="00EB052D">
      <w:pPr>
        <w:widowControl w:val="0"/>
        <w:autoSpaceDE w:val="0"/>
        <w:autoSpaceDN w:val="0"/>
        <w:adjustRightInd w:val="0"/>
        <w:spacing w:before="120"/>
        <w:jc w:val="center"/>
        <w:rPr>
          <w:rFonts w:ascii="Arial" w:hAnsi="Arial" w:cs="Arial"/>
          <w:sz w:val="20"/>
          <w:szCs w:val="26"/>
        </w:rPr>
      </w:pPr>
      <w:r w:rsidRPr="00EB052D">
        <w:rPr>
          <w:rFonts w:ascii="Arial" w:hAnsi="Arial" w:cs="Arial"/>
          <w:sz w:val="20"/>
          <w:szCs w:val="26"/>
        </w:rPr>
        <w:t>VỀ VIỆC CÔNG BỐ DANH MỤC THỦ TỤC HÀNH CHÍNH SỬA ĐỔI, BỔ SUNG VÀ QUY TRÌNH NỘI BỘ GIẢI QUYẾT THỦ TỤC HÀNH CHÍNH THUỘC THẨM QUYỀN GIẢI QUYẾT CỦA BAN QUẢN LÝ KHU KINH TẾ TỈNH ĐỒNG THÁP</w:t>
      </w:r>
    </w:p>
    <w:p w:rsidR="00C32870" w:rsidRPr="00EB052D" w:rsidRDefault="00621593" w:rsidP="00EB052D">
      <w:pPr>
        <w:widowControl w:val="0"/>
        <w:autoSpaceDE w:val="0"/>
        <w:autoSpaceDN w:val="0"/>
        <w:adjustRightInd w:val="0"/>
        <w:spacing w:before="120"/>
        <w:jc w:val="center"/>
        <w:rPr>
          <w:rFonts w:ascii="Arial" w:hAnsi="Arial" w:cs="Arial"/>
          <w:b/>
          <w:szCs w:val="26"/>
        </w:rPr>
      </w:pPr>
      <w:r w:rsidRPr="00EB052D">
        <w:rPr>
          <w:rFonts w:ascii="Arial" w:hAnsi="Arial" w:cs="Arial"/>
          <w:b/>
          <w:szCs w:val="26"/>
        </w:rPr>
        <w:t>CHỦ TỊCH ỦY BAN NHÂN DÂN TỈNH ĐỒNG THÁP</w:t>
      </w:r>
    </w:p>
    <w:p w:rsidR="00C32870" w:rsidRPr="00EB052D" w:rsidRDefault="00C32870" w:rsidP="00EB052D">
      <w:pPr>
        <w:widowControl w:val="0"/>
        <w:autoSpaceDE w:val="0"/>
        <w:autoSpaceDN w:val="0"/>
        <w:adjustRightInd w:val="0"/>
        <w:spacing w:before="120"/>
        <w:rPr>
          <w:rFonts w:ascii="Arial" w:hAnsi="Arial" w:cs="Arial"/>
          <w:i/>
          <w:sz w:val="20"/>
          <w:szCs w:val="26"/>
        </w:rPr>
      </w:pPr>
      <w:r w:rsidRPr="00EB052D">
        <w:rPr>
          <w:rFonts w:ascii="Arial" w:hAnsi="Arial" w:cs="Arial"/>
          <w:i/>
          <w:sz w:val="20"/>
          <w:szCs w:val="26"/>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C32870" w:rsidRPr="00EB052D" w:rsidRDefault="00C32870" w:rsidP="00EB052D">
      <w:pPr>
        <w:widowControl w:val="0"/>
        <w:autoSpaceDE w:val="0"/>
        <w:autoSpaceDN w:val="0"/>
        <w:adjustRightInd w:val="0"/>
        <w:spacing w:before="120"/>
        <w:rPr>
          <w:rFonts w:ascii="Arial" w:hAnsi="Arial" w:cs="Arial"/>
          <w:i/>
          <w:sz w:val="20"/>
          <w:szCs w:val="26"/>
        </w:rPr>
      </w:pPr>
      <w:r w:rsidRPr="00EB052D">
        <w:rPr>
          <w:rFonts w:ascii="Arial" w:hAnsi="Arial" w:cs="Arial"/>
          <w:i/>
          <w:sz w:val="20"/>
          <w:szCs w:val="26"/>
        </w:rPr>
        <w:t>Căn cứ Nghị định số 63/2010/NĐ-CP ngày 08 tháng 6 năm 2010 của Chính phủ về kiểm soát thủ tục hành chính;</w:t>
      </w:r>
    </w:p>
    <w:p w:rsidR="00C32870" w:rsidRPr="00EB052D" w:rsidRDefault="00C32870" w:rsidP="00EB052D">
      <w:pPr>
        <w:widowControl w:val="0"/>
        <w:autoSpaceDE w:val="0"/>
        <w:autoSpaceDN w:val="0"/>
        <w:adjustRightInd w:val="0"/>
        <w:spacing w:before="120"/>
        <w:rPr>
          <w:rFonts w:ascii="Arial" w:hAnsi="Arial" w:cs="Arial"/>
          <w:i/>
          <w:sz w:val="20"/>
          <w:szCs w:val="26"/>
        </w:rPr>
      </w:pPr>
      <w:r w:rsidRPr="00EB052D">
        <w:rPr>
          <w:rFonts w:ascii="Arial" w:hAnsi="Arial" w:cs="Arial"/>
          <w:i/>
          <w:sz w:val="20"/>
          <w:szCs w:val="26"/>
        </w:rPr>
        <w:t>Căn cứ Nghị định số 92/2017/NĐ-CP ngày 07 tháng 8 năm 2017 của Chính phủ sửa đổi, bổ sung một số điều của các Nghị định liên quan đến kiểm soát thủ tục hành chính;</w:t>
      </w:r>
    </w:p>
    <w:p w:rsidR="00C32870" w:rsidRPr="00EB052D" w:rsidRDefault="00C32870" w:rsidP="00EB052D">
      <w:pPr>
        <w:widowControl w:val="0"/>
        <w:autoSpaceDE w:val="0"/>
        <w:autoSpaceDN w:val="0"/>
        <w:adjustRightInd w:val="0"/>
        <w:spacing w:before="120"/>
        <w:rPr>
          <w:rFonts w:ascii="Arial" w:hAnsi="Arial" w:cs="Arial"/>
          <w:i/>
          <w:sz w:val="20"/>
          <w:szCs w:val="26"/>
        </w:rPr>
      </w:pPr>
      <w:r w:rsidRPr="00EB052D">
        <w:rPr>
          <w:rFonts w:ascii="Arial" w:hAnsi="Arial" w:cs="Arial"/>
          <w:i/>
          <w:sz w:val="20"/>
          <w:szCs w:val="26"/>
        </w:rPr>
        <w:t>Căn cứ Nghị định số 61/2018/NĐ-CP ngày 23 tháng 4 năm 2018 của Chính phủ về thực hiện cơ chế một cửa, một cửa liên thông trong giải quyết thủ tục hành chính;</w:t>
      </w:r>
    </w:p>
    <w:p w:rsidR="00C32870" w:rsidRPr="00EB052D" w:rsidRDefault="00C32870" w:rsidP="00EB052D">
      <w:pPr>
        <w:widowControl w:val="0"/>
        <w:autoSpaceDE w:val="0"/>
        <w:autoSpaceDN w:val="0"/>
        <w:adjustRightInd w:val="0"/>
        <w:spacing w:before="120"/>
        <w:rPr>
          <w:rFonts w:ascii="Arial" w:hAnsi="Arial" w:cs="Arial"/>
          <w:i/>
          <w:sz w:val="20"/>
          <w:szCs w:val="26"/>
        </w:rPr>
      </w:pPr>
      <w:r w:rsidRPr="00EB052D">
        <w:rPr>
          <w:rFonts w:ascii="Arial" w:hAnsi="Arial" w:cs="Arial"/>
          <w:i/>
          <w:sz w:val="20"/>
          <w:szCs w:val="26"/>
        </w:rPr>
        <w:t>Căn cứ Thông tư số 02/2017/TT-VPCP ngày 31 tháng 10 năm 2017 của Bộ trưởng, Chủ nhiệm Văn phòng Chính phủ hướng dẫn về nghiệp vụ kiểm soát thủ tục hành chính;</w:t>
      </w:r>
    </w:p>
    <w:p w:rsidR="00C32870" w:rsidRPr="00EB052D" w:rsidRDefault="00C32870" w:rsidP="00EB052D">
      <w:pPr>
        <w:widowControl w:val="0"/>
        <w:autoSpaceDE w:val="0"/>
        <w:autoSpaceDN w:val="0"/>
        <w:adjustRightInd w:val="0"/>
        <w:spacing w:before="120"/>
        <w:rPr>
          <w:rFonts w:ascii="Arial" w:hAnsi="Arial" w:cs="Arial"/>
          <w:i/>
          <w:sz w:val="20"/>
          <w:szCs w:val="26"/>
        </w:rPr>
      </w:pPr>
      <w:r w:rsidRPr="00EB052D">
        <w:rPr>
          <w:rFonts w:ascii="Arial" w:hAnsi="Arial" w:cs="Arial"/>
          <w:i/>
          <w:sz w:val="20"/>
          <w:szCs w:val="26"/>
        </w:rP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w:t>
      </w:r>
    </w:p>
    <w:p w:rsidR="00C32870" w:rsidRPr="00EB052D" w:rsidRDefault="00C32870" w:rsidP="00EB052D">
      <w:pPr>
        <w:widowControl w:val="0"/>
        <w:autoSpaceDE w:val="0"/>
        <w:autoSpaceDN w:val="0"/>
        <w:adjustRightInd w:val="0"/>
        <w:spacing w:before="120"/>
        <w:rPr>
          <w:rFonts w:ascii="Arial" w:hAnsi="Arial" w:cs="Arial"/>
          <w:i/>
          <w:sz w:val="20"/>
          <w:szCs w:val="26"/>
        </w:rPr>
      </w:pPr>
      <w:r w:rsidRPr="00EB052D">
        <w:rPr>
          <w:rFonts w:ascii="Arial" w:hAnsi="Arial" w:cs="Arial"/>
          <w:i/>
          <w:sz w:val="20"/>
          <w:szCs w:val="26"/>
        </w:rPr>
        <w:t>Theo đề nghị của</w:t>
      </w:r>
      <w:r w:rsidR="00817D4F" w:rsidRPr="00EB052D">
        <w:rPr>
          <w:rFonts w:ascii="Arial" w:hAnsi="Arial" w:cs="Arial"/>
          <w:i/>
          <w:sz w:val="20"/>
          <w:szCs w:val="26"/>
        </w:rPr>
        <w:t xml:space="preserve"> </w:t>
      </w:r>
      <w:r w:rsidRPr="00EB052D">
        <w:rPr>
          <w:rFonts w:ascii="Arial" w:hAnsi="Arial" w:cs="Arial"/>
          <w:i/>
          <w:sz w:val="20"/>
          <w:szCs w:val="26"/>
        </w:rPr>
        <w:t>Trưởng</w:t>
      </w:r>
      <w:r w:rsidR="00817D4F" w:rsidRPr="00EB052D">
        <w:rPr>
          <w:rFonts w:ascii="Arial" w:hAnsi="Arial" w:cs="Arial"/>
          <w:i/>
          <w:sz w:val="20"/>
          <w:szCs w:val="26"/>
        </w:rPr>
        <w:t xml:space="preserve"> </w:t>
      </w:r>
      <w:r w:rsidRPr="00EB052D">
        <w:rPr>
          <w:rFonts w:ascii="Arial" w:hAnsi="Arial" w:cs="Arial"/>
          <w:i/>
          <w:sz w:val="20"/>
          <w:szCs w:val="26"/>
        </w:rPr>
        <w:t>ban</w:t>
      </w:r>
      <w:r w:rsidR="00817D4F" w:rsidRPr="00EB052D">
        <w:rPr>
          <w:rFonts w:ascii="Arial" w:hAnsi="Arial" w:cs="Arial"/>
          <w:i/>
          <w:sz w:val="20"/>
          <w:szCs w:val="26"/>
        </w:rPr>
        <w:t xml:space="preserve"> </w:t>
      </w:r>
      <w:r w:rsidRPr="00EB052D">
        <w:rPr>
          <w:rFonts w:ascii="Arial" w:hAnsi="Arial" w:cs="Arial"/>
          <w:i/>
          <w:sz w:val="20"/>
          <w:szCs w:val="26"/>
        </w:rPr>
        <w:t>Ban Quản</w:t>
      </w:r>
      <w:r w:rsidR="00817D4F" w:rsidRPr="00EB052D">
        <w:rPr>
          <w:rFonts w:ascii="Arial" w:hAnsi="Arial" w:cs="Arial"/>
          <w:i/>
          <w:sz w:val="20"/>
          <w:szCs w:val="26"/>
        </w:rPr>
        <w:t xml:space="preserve"> </w:t>
      </w:r>
      <w:r w:rsidRPr="00EB052D">
        <w:rPr>
          <w:rFonts w:ascii="Arial" w:hAnsi="Arial" w:cs="Arial"/>
          <w:i/>
          <w:sz w:val="20"/>
          <w:szCs w:val="26"/>
        </w:rPr>
        <w:t>lý Khu kinh tế</w:t>
      </w:r>
      <w:r w:rsidR="00817D4F" w:rsidRPr="00EB052D">
        <w:rPr>
          <w:rFonts w:ascii="Arial" w:hAnsi="Arial" w:cs="Arial"/>
          <w:i/>
          <w:sz w:val="20"/>
          <w:szCs w:val="26"/>
        </w:rPr>
        <w:t xml:space="preserve"> </w:t>
      </w:r>
      <w:r w:rsidRPr="00EB052D">
        <w:rPr>
          <w:rFonts w:ascii="Arial" w:hAnsi="Arial" w:cs="Arial"/>
          <w:i/>
          <w:sz w:val="20"/>
          <w:szCs w:val="26"/>
        </w:rPr>
        <w:t>tại</w:t>
      </w:r>
      <w:r w:rsidR="00817D4F" w:rsidRPr="00EB052D">
        <w:rPr>
          <w:rFonts w:ascii="Arial" w:hAnsi="Arial" w:cs="Arial"/>
          <w:i/>
          <w:sz w:val="20"/>
          <w:szCs w:val="26"/>
        </w:rPr>
        <w:t xml:space="preserve"> </w:t>
      </w:r>
      <w:r w:rsidRPr="00EB052D">
        <w:rPr>
          <w:rFonts w:ascii="Arial" w:hAnsi="Arial" w:cs="Arial"/>
          <w:i/>
          <w:sz w:val="20"/>
          <w:szCs w:val="26"/>
        </w:rPr>
        <w:t>Tờ trình</w:t>
      </w:r>
      <w:r w:rsidR="00817D4F" w:rsidRPr="00EB052D">
        <w:rPr>
          <w:rFonts w:ascii="Arial" w:hAnsi="Arial" w:cs="Arial"/>
          <w:i/>
          <w:sz w:val="20"/>
          <w:szCs w:val="26"/>
        </w:rPr>
        <w:t xml:space="preserve"> </w:t>
      </w:r>
      <w:r w:rsidRPr="00EB052D">
        <w:rPr>
          <w:rFonts w:ascii="Arial" w:hAnsi="Arial" w:cs="Arial"/>
          <w:i/>
          <w:sz w:val="20"/>
          <w:szCs w:val="26"/>
        </w:rPr>
        <w:t>số</w:t>
      </w:r>
      <w:r w:rsidR="00F16DF2" w:rsidRPr="00EB052D">
        <w:rPr>
          <w:rFonts w:ascii="Arial" w:hAnsi="Arial" w:cs="Arial"/>
          <w:i/>
          <w:sz w:val="20"/>
          <w:szCs w:val="26"/>
        </w:rPr>
        <w:t xml:space="preserve"> </w:t>
      </w:r>
      <w:r w:rsidRPr="00EB052D">
        <w:rPr>
          <w:rFonts w:ascii="Arial" w:hAnsi="Arial" w:cs="Arial"/>
          <w:i/>
          <w:sz w:val="20"/>
          <w:szCs w:val="26"/>
        </w:rPr>
        <w:t>1288/TTr-KKT ngày 11 tháng 10 năm 2022.</w:t>
      </w:r>
    </w:p>
    <w:p w:rsidR="00C32870" w:rsidRPr="00EB052D" w:rsidRDefault="00F16DF2" w:rsidP="00EB052D">
      <w:pPr>
        <w:widowControl w:val="0"/>
        <w:autoSpaceDE w:val="0"/>
        <w:autoSpaceDN w:val="0"/>
        <w:adjustRightInd w:val="0"/>
        <w:spacing w:before="120"/>
        <w:jc w:val="center"/>
        <w:rPr>
          <w:rFonts w:ascii="Arial" w:hAnsi="Arial" w:cs="Arial"/>
          <w:b/>
          <w:szCs w:val="26"/>
        </w:rPr>
      </w:pPr>
      <w:r w:rsidRPr="00EB052D">
        <w:rPr>
          <w:rFonts w:ascii="Arial" w:hAnsi="Arial" w:cs="Arial"/>
          <w:b/>
          <w:szCs w:val="26"/>
        </w:rPr>
        <w:t>QUYẾT ĐỊNH:</w:t>
      </w:r>
    </w:p>
    <w:p w:rsidR="00C32870"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b/>
          <w:sz w:val="20"/>
          <w:szCs w:val="26"/>
        </w:rPr>
        <w:t>Điều 1.</w:t>
      </w:r>
      <w:r w:rsidRPr="00EB052D">
        <w:rPr>
          <w:rFonts w:ascii="Arial" w:hAnsi="Arial" w:cs="Arial"/>
          <w:sz w:val="20"/>
          <w:szCs w:val="26"/>
        </w:rPr>
        <w:t xml:space="preserve"> Công bố kèm theo Quyết định này danh mục thủ tục hành chính sửa đổi, bổ sung và quy trình nội bộ giải quyết thủ tục hành chính thuộc thẩm quyền giải quyết của Ban Quản lý Khu kinh tế, cụ thể:</w:t>
      </w:r>
    </w:p>
    <w:p w:rsidR="00C32870"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 Thủ tục hành chính giữ nguyên: 13 thủ tục hành chính.</w:t>
      </w:r>
    </w:p>
    <w:p w:rsidR="00C32870"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 Thủ tục hành chính sửa đổi, bổ sung: 12 thủ tục hành chính.</w:t>
      </w:r>
    </w:p>
    <w:p w:rsidR="00C32870"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b/>
          <w:sz w:val="20"/>
          <w:szCs w:val="26"/>
        </w:rPr>
        <w:t>Điều 2.</w:t>
      </w:r>
      <w:r w:rsidRPr="00EB052D">
        <w:rPr>
          <w:rFonts w:ascii="Arial" w:hAnsi="Arial" w:cs="Arial"/>
          <w:sz w:val="20"/>
          <w:szCs w:val="26"/>
        </w:rPr>
        <w:t xml:space="preserve"> Quyết định này có hiệu lực thi hành kể từ ngày ký và thay thế Quyết định số 1067/QĐ-UBND-HC ngày 03/8/2021 của Chủ tịch Ủy ban nhân dân Tỉnh về việc công bố Danh mục thủ tục hành chính và phê duyệt Quy trình nội bộ giải</w:t>
      </w:r>
      <w:r w:rsidR="00F16DF2" w:rsidRPr="00EB052D">
        <w:rPr>
          <w:rFonts w:ascii="Arial" w:hAnsi="Arial" w:cs="Arial"/>
          <w:sz w:val="20"/>
          <w:szCs w:val="26"/>
        </w:rPr>
        <w:t xml:space="preserve"> </w:t>
      </w:r>
      <w:r w:rsidRPr="00EB052D">
        <w:rPr>
          <w:rFonts w:ascii="Arial" w:hAnsi="Arial" w:cs="Arial"/>
          <w:sz w:val="20"/>
          <w:szCs w:val="26"/>
        </w:rPr>
        <w:t>quyết thủ tục hành chính thuộc thẩm quyền giải quyết của Ban Quản lý Khu kinh</w:t>
      </w:r>
      <w:r w:rsidR="00F16DF2" w:rsidRPr="00EB052D">
        <w:rPr>
          <w:rFonts w:ascii="Arial" w:hAnsi="Arial" w:cs="Arial"/>
          <w:sz w:val="20"/>
          <w:szCs w:val="26"/>
        </w:rPr>
        <w:t xml:space="preserve"> </w:t>
      </w:r>
      <w:r w:rsidRPr="00EB052D">
        <w:rPr>
          <w:rFonts w:ascii="Arial" w:hAnsi="Arial" w:cs="Arial"/>
          <w:sz w:val="20"/>
          <w:szCs w:val="26"/>
        </w:rPr>
        <w:t>tế Đồng Tháp.</w:t>
      </w:r>
    </w:p>
    <w:p w:rsidR="00C32870"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b/>
          <w:sz w:val="20"/>
          <w:szCs w:val="26"/>
        </w:rPr>
        <w:t xml:space="preserve">Điều 3. </w:t>
      </w:r>
      <w:r w:rsidRPr="00EB052D">
        <w:rPr>
          <w:rFonts w:ascii="Arial" w:hAnsi="Arial" w:cs="Arial"/>
          <w:sz w:val="20"/>
          <w:szCs w:val="26"/>
        </w:rPr>
        <w:t xml:space="preserve">Chánh Văn phòng </w:t>
      </w:r>
      <w:r w:rsidR="006A25CD" w:rsidRPr="00EB052D">
        <w:rPr>
          <w:rFonts w:ascii="Arial" w:hAnsi="Arial" w:cs="Arial"/>
          <w:sz w:val="20"/>
          <w:szCs w:val="26"/>
        </w:rPr>
        <w:t>Ủy ban</w:t>
      </w:r>
      <w:r w:rsidRPr="00EB052D">
        <w:rPr>
          <w:rFonts w:ascii="Arial" w:hAnsi="Arial" w:cs="Arial"/>
          <w:sz w:val="20"/>
          <w:szCs w:val="26"/>
        </w:rPr>
        <w:t xml:space="preserve"> nhân dân Tỉnh; Trưởng ban Ban Quản lý Khu kinh tế; Thủ trưởng các sở, ban, ngành tỉnh; </w:t>
      </w:r>
      <w:r w:rsidR="006A25CD" w:rsidRPr="00EB052D">
        <w:rPr>
          <w:rFonts w:ascii="Arial" w:hAnsi="Arial" w:cs="Arial"/>
          <w:sz w:val="20"/>
          <w:szCs w:val="26"/>
        </w:rPr>
        <w:t>Ủy ban</w:t>
      </w:r>
      <w:r w:rsidRPr="00EB052D">
        <w:rPr>
          <w:rFonts w:ascii="Arial" w:hAnsi="Arial" w:cs="Arial"/>
          <w:sz w:val="20"/>
          <w:szCs w:val="26"/>
        </w:rPr>
        <w:t xml:space="preserve"> nhân dân các huyện, thành phố; </w:t>
      </w:r>
      <w:r w:rsidR="006A25CD" w:rsidRPr="00EB052D">
        <w:rPr>
          <w:rFonts w:ascii="Arial" w:hAnsi="Arial" w:cs="Arial"/>
          <w:sz w:val="20"/>
          <w:szCs w:val="26"/>
        </w:rPr>
        <w:t>Ủy ban</w:t>
      </w:r>
      <w:r w:rsidRPr="00EB052D">
        <w:rPr>
          <w:rFonts w:ascii="Arial" w:hAnsi="Arial" w:cs="Arial"/>
          <w:sz w:val="20"/>
          <w:szCs w:val="26"/>
        </w:rPr>
        <w:t xml:space="preserve"> nhân dân các xã, phường, thị trấn và các tổ chức, cá nhân có liên quan chịu trách nhiệm thi hành Quyết định này./.</w:t>
      </w:r>
    </w:p>
    <w:p w:rsidR="00F16DF2" w:rsidRPr="00EB052D" w:rsidRDefault="00F16DF2" w:rsidP="00EB052D">
      <w:pPr>
        <w:widowControl w:val="0"/>
        <w:autoSpaceDE w:val="0"/>
        <w:autoSpaceDN w:val="0"/>
        <w:adjustRightInd w:val="0"/>
        <w:spacing w:before="120"/>
        <w:rPr>
          <w:rFonts w:ascii="Arial" w:hAnsi="Arial" w:cs="Arial"/>
          <w:sz w:val="20"/>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8"/>
        <w:gridCol w:w="4428"/>
      </w:tblGrid>
      <w:tr w:rsidR="00F16DF2" w:rsidRPr="00EB052D">
        <w:tc>
          <w:tcPr>
            <w:tcW w:w="4428" w:type="dxa"/>
          </w:tcPr>
          <w:p w:rsidR="00F16DF2" w:rsidRPr="00EB052D" w:rsidRDefault="00F16DF2" w:rsidP="00EB052D">
            <w:pPr>
              <w:spacing w:before="120"/>
              <w:rPr>
                <w:rFonts w:ascii="Arial" w:hAnsi="Arial" w:cs="Arial"/>
                <w:sz w:val="20"/>
                <w:szCs w:val="20"/>
              </w:rPr>
            </w:pPr>
            <w:r w:rsidRPr="00EB052D">
              <w:rPr>
                <w:rFonts w:ascii="Arial" w:hAnsi="Arial" w:cs="Arial"/>
                <w:b/>
                <w:i/>
                <w:sz w:val="20"/>
                <w:szCs w:val="20"/>
              </w:rPr>
              <w:br/>
              <w:t>Nơi nhận:</w:t>
            </w:r>
            <w:r w:rsidRPr="00EB052D">
              <w:rPr>
                <w:rFonts w:ascii="Arial" w:hAnsi="Arial" w:cs="Arial"/>
                <w:b/>
                <w:i/>
                <w:sz w:val="20"/>
                <w:szCs w:val="20"/>
              </w:rPr>
              <w:br/>
            </w:r>
            <w:r w:rsidRPr="00EB052D">
              <w:rPr>
                <w:rFonts w:ascii="Arial" w:hAnsi="Arial" w:cs="Arial"/>
                <w:sz w:val="16"/>
                <w:szCs w:val="16"/>
              </w:rPr>
              <w:lastRenderedPageBreak/>
              <w:t xml:space="preserve">- </w:t>
            </w:r>
            <w:r w:rsidRPr="00EB052D">
              <w:rPr>
                <w:rFonts w:ascii="Arial" w:hAnsi="Arial" w:cs="Arial"/>
                <w:sz w:val="16"/>
                <w:szCs w:val="20"/>
              </w:rPr>
              <w:t>Như điều 3;</w:t>
            </w:r>
            <w:r w:rsidRPr="00EB052D">
              <w:rPr>
                <w:rFonts w:ascii="Arial" w:hAnsi="Arial" w:cs="Arial"/>
                <w:sz w:val="16"/>
                <w:szCs w:val="20"/>
              </w:rPr>
              <w:br/>
              <w:t>- Cục KSTTHC, Văn phòng Chính phủ;</w:t>
            </w:r>
            <w:r w:rsidRPr="00EB052D">
              <w:rPr>
                <w:rFonts w:ascii="Arial" w:hAnsi="Arial" w:cs="Arial"/>
                <w:sz w:val="16"/>
                <w:szCs w:val="20"/>
              </w:rPr>
              <w:br/>
              <w:t>- TT. TU, TT. HĐND Tỉnh;</w:t>
            </w:r>
            <w:r w:rsidRPr="00EB052D">
              <w:rPr>
                <w:rFonts w:ascii="Arial" w:hAnsi="Arial" w:cs="Arial"/>
                <w:sz w:val="16"/>
                <w:szCs w:val="20"/>
              </w:rPr>
              <w:br/>
              <w:t>- Các PCT. UBND Tỉnh;</w:t>
            </w:r>
            <w:r w:rsidRPr="00EB052D">
              <w:rPr>
                <w:rFonts w:ascii="Arial" w:hAnsi="Arial" w:cs="Arial"/>
                <w:sz w:val="16"/>
                <w:szCs w:val="20"/>
              </w:rPr>
              <w:br/>
              <w:t>- Trung tâm KSTTHC&amp;PVHCC;</w:t>
            </w:r>
            <w:r w:rsidRPr="00EB052D">
              <w:rPr>
                <w:rFonts w:ascii="Arial" w:hAnsi="Arial" w:cs="Arial"/>
                <w:sz w:val="16"/>
                <w:szCs w:val="20"/>
              </w:rPr>
              <w:br/>
              <w:t>- Cổng TTĐT Tỉnh;</w:t>
            </w:r>
            <w:r w:rsidRPr="00EB052D">
              <w:rPr>
                <w:rFonts w:ascii="Arial" w:hAnsi="Arial" w:cs="Arial"/>
                <w:sz w:val="16"/>
                <w:szCs w:val="20"/>
              </w:rPr>
              <w:br/>
              <w:t>- LĐ và CV TTKSTTHC;</w:t>
            </w:r>
            <w:r w:rsidRPr="00EB052D">
              <w:rPr>
                <w:rFonts w:ascii="Arial" w:hAnsi="Arial" w:cs="Arial"/>
                <w:sz w:val="16"/>
                <w:szCs w:val="20"/>
              </w:rPr>
              <w:br/>
              <w:t>- Lưu: VT, KSTTHC (Sang).</w:t>
            </w:r>
          </w:p>
        </w:tc>
        <w:tc>
          <w:tcPr>
            <w:tcW w:w="4428" w:type="dxa"/>
          </w:tcPr>
          <w:p w:rsidR="00F16DF2" w:rsidRPr="00EB052D" w:rsidRDefault="00F16DF2" w:rsidP="00EB052D">
            <w:pPr>
              <w:spacing w:before="120"/>
              <w:jc w:val="center"/>
              <w:rPr>
                <w:rFonts w:ascii="Arial" w:hAnsi="Arial" w:cs="Arial"/>
                <w:b/>
                <w:sz w:val="20"/>
                <w:szCs w:val="20"/>
              </w:rPr>
            </w:pPr>
            <w:r w:rsidRPr="00EB052D">
              <w:rPr>
                <w:rFonts w:ascii="Arial" w:hAnsi="Arial" w:cs="Arial"/>
                <w:b/>
                <w:sz w:val="20"/>
                <w:szCs w:val="20"/>
              </w:rPr>
              <w:lastRenderedPageBreak/>
              <w:t xml:space="preserve">CHỦ TỊCH </w:t>
            </w:r>
            <w:r w:rsidRPr="00EB052D">
              <w:rPr>
                <w:rFonts w:ascii="Arial" w:hAnsi="Arial" w:cs="Arial"/>
                <w:b/>
                <w:sz w:val="20"/>
                <w:szCs w:val="20"/>
              </w:rPr>
              <w:br/>
            </w:r>
            <w:r w:rsidRPr="00EB052D">
              <w:rPr>
                <w:rFonts w:ascii="Arial" w:hAnsi="Arial" w:cs="Arial"/>
                <w:b/>
                <w:sz w:val="20"/>
                <w:szCs w:val="20"/>
              </w:rPr>
              <w:br/>
            </w:r>
            <w:r w:rsidRPr="00EB052D">
              <w:rPr>
                <w:rFonts w:ascii="Arial" w:hAnsi="Arial" w:cs="Arial"/>
                <w:b/>
                <w:sz w:val="20"/>
                <w:szCs w:val="20"/>
              </w:rPr>
              <w:lastRenderedPageBreak/>
              <w:br/>
            </w:r>
            <w:r w:rsidRPr="00EB052D">
              <w:rPr>
                <w:rFonts w:ascii="Arial" w:hAnsi="Arial" w:cs="Arial"/>
                <w:b/>
                <w:sz w:val="20"/>
                <w:szCs w:val="20"/>
              </w:rPr>
              <w:br/>
            </w:r>
            <w:r w:rsidRPr="00EB052D">
              <w:rPr>
                <w:rFonts w:ascii="Arial" w:hAnsi="Arial" w:cs="Arial"/>
                <w:b/>
                <w:sz w:val="20"/>
                <w:szCs w:val="20"/>
              </w:rPr>
              <w:br/>
              <w:t>Phạm Thiện Nghĩa</w:t>
            </w:r>
          </w:p>
        </w:tc>
      </w:tr>
    </w:tbl>
    <w:p w:rsidR="00F16DF2" w:rsidRPr="00EB052D" w:rsidRDefault="00F16DF2" w:rsidP="00EB052D">
      <w:pPr>
        <w:widowControl w:val="0"/>
        <w:autoSpaceDE w:val="0"/>
        <w:autoSpaceDN w:val="0"/>
        <w:adjustRightInd w:val="0"/>
        <w:spacing w:before="120"/>
        <w:jc w:val="center"/>
        <w:rPr>
          <w:rFonts w:ascii="Arial" w:hAnsi="Arial" w:cs="Arial"/>
          <w:sz w:val="20"/>
          <w:szCs w:val="26"/>
        </w:rPr>
        <w:sectPr w:rsidR="00F16DF2" w:rsidRPr="00EB052D" w:rsidSect="00817D4F">
          <w:pgSz w:w="12240" w:h="15840"/>
          <w:pgMar w:top="1440" w:right="1800" w:bottom="1440" w:left="1800" w:header="0" w:footer="0" w:gutter="0"/>
          <w:cols w:space="720"/>
          <w:noEndnote/>
          <w:docGrid w:linePitch="326"/>
        </w:sectPr>
      </w:pPr>
    </w:p>
    <w:p w:rsidR="00C32870" w:rsidRPr="00EB052D" w:rsidRDefault="00C32870" w:rsidP="00EB052D">
      <w:pPr>
        <w:widowControl w:val="0"/>
        <w:autoSpaceDE w:val="0"/>
        <w:autoSpaceDN w:val="0"/>
        <w:adjustRightInd w:val="0"/>
        <w:spacing w:before="120"/>
        <w:jc w:val="center"/>
        <w:rPr>
          <w:rFonts w:ascii="Arial" w:hAnsi="Arial" w:cs="Arial"/>
          <w:sz w:val="20"/>
          <w:szCs w:val="28"/>
        </w:rPr>
      </w:pPr>
      <w:r w:rsidRPr="00EB052D">
        <w:rPr>
          <w:rFonts w:ascii="Arial" w:hAnsi="Arial" w:cs="Arial"/>
          <w:b/>
          <w:bCs/>
          <w:sz w:val="20"/>
          <w:szCs w:val="28"/>
        </w:rPr>
        <w:lastRenderedPageBreak/>
        <w:t>Phần I</w:t>
      </w:r>
    </w:p>
    <w:p w:rsidR="00C32870" w:rsidRPr="00EB052D" w:rsidRDefault="00C32870" w:rsidP="00EB052D">
      <w:pPr>
        <w:widowControl w:val="0"/>
        <w:autoSpaceDE w:val="0"/>
        <w:autoSpaceDN w:val="0"/>
        <w:adjustRightInd w:val="0"/>
        <w:spacing w:before="120"/>
        <w:jc w:val="center"/>
        <w:rPr>
          <w:rFonts w:ascii="Arial" w:hAnsi="Arial" w:cs="Arial"/>
          <w:sz w:val="20"/>
          <w:szCs w:val="28"/>
        </w:rPr>
      </w:pPr>
      <w:r w:rsidRPr="00EB052D">
        <w:rPr>
          <w:rFonts w:ascii="Arial" w:hAnsi="Arial" w:cs="Arial"/>
          <w:b/>
          <w:bCs/>
          <w:sz w:val="20"/>
          <w:szCs w:val="28"/>
        </w:rPr>
        <w:t>DANH MỤC THỦ TỤC HÀNH CHÍNH THUỘC THẨM QUYỀN GIẢI QUYẾT CỦA BAN QUẢN LÝ KHU KINH TẾ ĐỒNG THÁP</w:t>
      </w:r>
    </w:p>
    <w:p w:rsidR="00C32870" w:rsidRPr="00EB052D" w:rsidRDefault="00C32870" w:rsidP="00EB052D">
      <w:pPr>
        <w:widowControl w:val="0"/>
        <w:autoSpaceDE w:val="0"/>
        <w:autoSpaceDN w:val="0"/>
        <w:adjustRightInd w:val="0"/>
        <w:spacing w:before="120"/>
        <w:jc w:val="center"/>
        <w:rPr>
          <w:rFonts w:ascii="Arial" w:hAnsi="Arial" w:cs="Arial"/>
          <w:sz w:val="20"/>
          <w:szCs w:val="26"/>
        </w:rPr>
      </w:pPr>
      <w:r w:rsidRPr="00EB052D">
        <w:rPr>
          <w:rFonts w:ascii="Arial" w:hAnsi="Arial" w:cs="Arial"/>
          <w:i/>
          <w:iCs/>
          <w:sz w:val="20"/>
          <w:szCs w:val="26"/>
        </w:rPr>
        <w:t>(Ban hành kèm theo Quyết định số</w:t>
      </w:r>
      <w:r w:rsidR="00817D4F" w:rsidRPr="00EB052D">
        <w:rPr>
          <w:rFonts w:ascii="Arial" w:hAnsi="Arial" w:cs="Arial"/>
          <w:i/>
          <w:iCs/>
          <w:sz w:val="20"/>
          <w:szCs w:val="26"/>
        </w:rPr>
        <w:t xml:space="preserve"> </w:t>
      </w:r>
      <w:r w:rsidR="0039159D" w:rsidRPr="00EB052D">
        <w:rPr>
          <w:rFonts w:ascii="Arial" w:hAnsi="Arial" w:cs="Arial"/>
          <w:i/>
          <w:iCs/>
          <w:sz w:val="20"/>
          <w:szCs w:val="26"/>
        </w:rPr>
        <w:t>1151</w:t>
      </w:r>
      <w:r w:rsidRPr="00EB052D">
        <w:rPr>
          <w:rFonts w:ascii="Arial" w:hAnsi="Arial" w:cs="Arial"/>
          <w:i/>
          <w:iCs/>
          <w:sz w:val="20"/>
          <w:szCs w:val="26"/>
        </w:rPr>
        <w:t>/QĐ-UBND-HC ngày</w:t>
      </w:r>
      <w:r w:rsidR="00817D4F" w:rsidRPr="00EB052D">
        <w:rPr>
          <w:rFonts w:ascii="Arial" w:hAnsi="Arial" w:cs="Arial"/>
          <w:i/>
          <w:iCs/>
          <w:sz w:val="20"/>
          <w:szCs w:val="26"/>
        </w:rPr>
        <w:t xml:space="preserve"> </w:t>
      </w:r>
      <w:r w:rsidR="0039159D" w:rsidRPr="00EB052D">
        <w:rPr>
          <w:rFonts w:ascii="Arial" w:hAnsi="Arial" w:cs="Arial"/>
          <w:i/>
          <w:iCs/>
          <w:sz w:val="20"/>
          <w:szCs w:val="26"/>
        </w:rPr>
        <w:t xml:space="preserve">21 </w:t>
      </w:r>
      <w:r w:rsidRPr="00EB052D">
        <w:rPr>
          <w:rFonts w:ascii="Arial" w:hAnsi="Arial" w:cs="Arial"/>
          <w:i/>
          <w:iCs/>
          <w:sz w:val="20"/>
          <w:szCs w:val="26"/>
        </w:rPr>
        <w:t>tháng 10 năm 2022 của UBND tỉnh Đồng Tháp)</w:t>
      </w:r>
    </w:p>
    <w:p w:rsidR="00C32870"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b/>
          <w:bCs/>
          <w:sz w:val="20"/>
          <w:szCs w:val="26"/>
        </w:rPr>
        <w:t>* THỦ TỤC HÀNH CHÍNH ĐƯỢC SỬA ĐỔI, BỔ SUNG: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9"/>
        <w:gridCol w:w="1087"/>
        <w:gridCol w:w="1958"/>
        <w:gridCol w:w="864"/>
        <w:gridCol w:w="1738"/>
        <w:gridCol w:w="1051"/>
        <w:gridCol w:w="4023"/>
        <w:gridCol w:w="890"/>
        <w:gridCol w:w="840"/>
      </w:tblGrid>
      <w:tr w:rsidR="00C32870" w:rsidRPr="00EB052D">
        <w:tblPrEx>
          <w:tblCellMar>
            <w:top w:w="0" w:type="dxa"/>
            <w:left w:w="0" w:type="dxa"/>
            <w:bottom w:w="0" w:type="dxa"/>
            <w:right w:w="0" w:type="dxa"/>
          </w:tblCellMar>
        </w:tblPrEx>
        <w:tc>
          <w:tcPr>
            <w:tcW w:w="200"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ST T</w:t>
            </w:r>
          </w:p>
        </w:tc>
        <w:tc>
          <w:tcPr>
            <w:tcW w:w="419"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Mã số</w:t>
            </w:r>
            <w:r w:rsidR="0039159D" w:rsidRPr="00EB052D">
              <w:rPr>
                <w:rFonts w:ascii="Arial" w:hAnsi="Arial" w:cs="Arial"/>
                <w:sz w:val="20"/>
                <w:szCs w:val="26"/>
              </w:rPr>
              <w:t xml:space="preserve"> </w:t>
            </w:r>
            <w:r w:rsidRPr="00EB052D">
              <w:rPr>
                <w:rFonts w:ascii="Arial" w:hAnsi="Arial" w:cs="Arial"/>
                <w:b/>
                <w:bCs/>
                <w:sz w:val="20"/>
                <w:szCs w:val="26"/>
              </w:rPr>
              <w:t>TTHC</w:t>
            </w:r>
          </w:p>
        </w:tc>
        <w:tc>
          <w:tcPr>
            <w:tcW w:w="755"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TÊN TTHC</w:t>
            </w:r>
          </w:p>
        </w:tc>
        <w:tc>
          <w:tcPr>
            <w:tcW w:w="333"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Thời hạn giải quyết</w:t>
            </w:r>
          </w:p>
        </w:tc>
        <w:tc>
          <w:tcPr>
            <w:tcW w:w="670"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Địa điểm thực hiện</w:t>
            </w:r>
          </w:p>
        </w:tc>
        <w:tc>
          <w:tcPr>
            <w:tcW w:w="405"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 xml:space="preserve">Phí, lệ phí </w:t>
            </w:r>
            <w:r w:rsidR="0039159D" w:rsidRPr="00EB052D">
              <w:rPr>
                <w:rFonts w:ascii="Arial" w:hAnsi="Arial" w:cs="Arial"/>
                <w:b/>
                <w:bCs/>
                <w:sz w:val="20"/>
                <w:szCs w:val="26"/>
              </w:rPr>
              <w:br/>
            </w:r>
            <w:r w:rsidRPr="00EB052D">
              <w:rPr>
                <w:rFonts w:ascii="Arial" w:hAnsi="Arial" w:cs="Arial"/>
                <w:i/>
                <w:iCs/>
                <w:sz w:val="20"/>
                <w:szCs w:val="26"/>
              </w:rPr>
              <w:t>(đồng)</w:t>
            </w:r>
          </w:p>
        </w:tc>
        <w:tc>
          <w:tcPr>
            <w:tcW w:w="1551"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Tên VBQPPL quy định nội dung TTHC</w:t>
            </w:r>
          </w:p>
        </w:tc>
        <w:tc>
          <w:tcPr>
            <w:tcW w:w="667" w:type="pct"/>
            <w:gridSpan w:val="2"/>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Cách thức thực hiện</w:t>
            </w:r>
          </w:p>
        </w:tc>
      </w:tr>
      <w:tr w:rsidR="00C32870" w:rsidRPr="00EB052D">
        <w:tblPrEx>
          <w:tblCellMar>
            <w:top w:w="0" w:type="dxa"/>
            <w:left w:w="0" w:type="dxa"/>
            <w:bottom w:w="0" w:type="dxa"/>
            <w:right w:w="0" w:type="dxa"/>
          </w:tblCellMar>
        </w:tblPrEx>
        <w:tc>
          <w:tcPr>
            <w:tcW w:w="200"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419"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755"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333"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670"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405"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1551" w:type="pct"/>
            <w:vMerge/>
            <w:vAlign w:val="center"/>
          </w:tcPr>
          <w:p w:rsidR="00C32870" w:rsidRPr="00EB052D" w:rsidRDefault="00C32870" w:rsidP="00EB052D">
            <w:pPr>
              <w:widowControl w:val="0"/>
              <w:autoSpaceDE w:val="0"/>
              <w:autoSpaceDN w:val="0"/>
              <w:adjustRightInd w:val="0"/>
              <w:spacing w:before="120"/>
              <w:rPr>
                <w:rFonts w:ascii="Arial" w:hAnsi="Arial" w:cs="Arial"/>
                <w:sz w:val="20"/>
              </w:rPr>
            </w:pP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Nộp hồ</w:t>
            </w:r>
            <w:r w:rsidR="0039159D" w:rsidRPr="00EB052D">
              <w:rPr>
                <w:rFonts w:ascii="Arial" w:hAnsi="Arial" w:cs="Arial"/>
                <w:sz w:val="20"/>
                <w:szCs w:val="26"/>
              </w:rPr>
              <w:t xml:space="preserve"> </w:t>
            </w:r>
            <w:r w:rsidRPr="00EB052D">
              <w:rPr>
                <w:rFonts w:ascii="Arial" w:hAnsi="Arial" w:cs="Arial"/>
                <w:sz w:val="20"/>
                <w:szCs w:val="26"/>
              </w:rPr>
              <w:t>sơ</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Trả hồ</w:t>
            </w:r>
            <w:r w:rsidR="0039159D" w:rsidRPr="00EB052D">
              <w:rPr>
                <w:rFonts w:ascii="Arial" w:hAnsi="Arial" w:cs="Arial"/>
                <w:sz w:val="20"/>
                <w:szCs w:val="26"/>
              </w:rPr>
              <w:t xml:space="preserve"> </w:t>
            </w:r>
            <w:r w:rsidRPr="00EB052D">
              <w:rPr>
                <w:rFonts w:ascii="Arial" w:hAnsi="Arial" w:cs="Arial"/>
                <w:sz w:val="20"/>
                <w:szCs w:val="26"/>
              </w:rPr>
              <w:t>sơ</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4800" w:type="pct"/>
            <w:gridSpan w:val="8"/>
            <w:vAlign w:val="center"/>
          </w:tcPr>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b/>
                <w:bCs/>
                <w:sz w:val="20"/>
                <w:szCs w:val="26"/>
              </w:rPr>
              <w:t>LĨNH VỰC ĐẦU TƯ</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1.009748</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chấp thuận chủ trương đầu tư</w:t>
            </w:r>
            <w:r w:rsidR="0039159D" w:rsidRPr="00EB052D">
              <w:rPr>
                <w:rFonts w:ascii="Arial" w:hAnsi="Arial" w:cs="Arial"/>
                <w:sz w:val="20"/>
                <w:szCs w:val="26"/>
              </w:rPr>
              <w:t xml:space="preserve"> </w:t>
            </w:r>
            <w:r w:rsidRPr="00EB052D">
              <w:rPr>
                <w:rFonts w:ascii="Arial" w:hAnsi="Arial" w:cs="Arial"/>
                <w:sz w:val="20"/>
                <w:szCs w:val="26"/>
              </w:rPr>
              <w:t>của Ban Quản lý quy định tại khoản</w:t>
            </w:r>
            <w:r w:rsidR="0039159D" w:rsidRPr="00EB052D">
              <w:rPr>
                <w:rFonts w:ascii="Arial" w:hAnsi="Arial" w:cs="Arial"/>
                <w:sz w:val="20"/>
                <w:szCs w:val="26"/>
              </w:rPr>
              <w:t xml:space="preserve"> </w:t>
            </w:r>
            <w:r w:rsidRPr="00EB052D">
              <w:rPr>
                <w:rFonts w:ascii="Arial" w:hAnsi="Arial" w:cs="Arial"/>
                <w:sz w:val="20"/>
                <w:szCs w:val="26"/>
              </w:rPr>
              <w:t>7 Điều 33 Nghị định số</w:t>
            </w:r>
            <w:r w:rsidR="0039159D" w:rsidRPr="00EB052D">
              <w:rPr>
                <w:rFonts w:ascii="Arial" w:hAnsi="Arial" w:cs="Arial"/>
                <w:sz w:val="20"/>
                <w:szCs w:val="26"/>
              </w:rPr>
              <w:t xml:space="preserve"> </w:t>
            </w:r>
            <w:r w:rsidRPr="00EB052D">
              <w:rPr>
                <w:rFonts w:ascii="Arial" w:hAnsi="Arial" w:cs="Arial"/>
                <w:sz w:val="20"/>
                <w:szCs w:val="26"/>
              </w:rPr>
              <w:t>31/2021/NĐ-CP</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23</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39159D"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39159D"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w:t>
            </w:r>
            <w:r w:rsidR="0039159D" w:rsidRPr="00EB052D">
              <w:rPr>
                <w:rFonts w:ascii="Arial" w:hAnsi="Arial" w:cs="Arial"/>
                <w:sz w:val="20"/>
                <w:szCs w:val="26"/>
              </w:rPr>
              <w:t xml:space="preserve"> </w:t>
            </w:r>
            <w:r w:rsidRPr="00EB052D">
              <w:rPr>
                <w:rFonts w:ascii="Arial" w:hAnsi="Arial" w:cs="Arial"/>
                <w:sz w:val="20"/>
                <w:szCs w:val="26"/>
              </w:rPr>
              <w:t>hoạt động đầu tư tại Việt Nam, đầu tư từ</w:t>
            </w:r>
            <w:r w:rsidR="0039159D" w:rsidRPr="00EB052D">
              <w:rPr>
                <w:rFonts w:ascii="Arial" w:hAnsi="Arial" w:cs="Arial"/>
                <w:sz w:val="20"/>
                <w:szCs w:val="26"/>
              </w:rPr>
              <w:t xml:space="preserve"> </w:t>
            </w:r>
            <w:r w:rsidRPr="00EB052D">
              <w:rPr>
                <w:rFonts w:ascii="Arial" w:hAnsi="Arial" w:cs="Arial"/>
                <w:sz w:val="20"/>
                <w:szCs w:val="26"/>
              </w:rPr>
              <w:t>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2</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1.009755</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chấp thuận</w:t>
            </w:r>
            <w:r w:rsidR="0039159D" w:rsidRPr="00EB052D">
              <w:rPr>
                <w:rFonts w:ascii="Arial" w:hAnsi="Arial" w:cs="Arial"/>
                <w:sz w:val="20"/>
                <w:szCs w:val="26"/>
              </w:rPr>
              <w:t xml:space="preserve"> </w:t>
            </w:r>
            <w:r w:rsidRPr="00EB052D">
              <w:rPr>
                <w:rFonts w:ascii="Arial" w:hAnsi="Arial" w:cs="Arial"/>
                <w:sz w:val="20"/>
                <w:szCs w:val="26"/>
              </w:rPr>
              <w:t>nhà đầu tư đối với dự án đầu tư thực hiện tại khu kinh tế quy định tại khoản</w:t>
            </w:r>
            <w:r w:rsidR="0039159D" w:rsidRPr="00EB052D">
              <w:rPr>
                <w:rFonts w:ascii="Arial" w:hAnsi="Arial" w:cs="Arial"/>
                <w:sz w:val="20"/>
                <w:szCs w:val="26"/>
              </w:rPr>
              <w:t xml:space="preserve"> </w:t>
            </w:r>
            <w:r w:rsidRPr="00EB052D">
              <w:rPr>
                <w:rFonts w:ascii="Arial" w:hAnsi="Arial" w:cs="Arial"/>
                <w:sz w:val="20"/>
                <w:szCs w:val="26"/>
              </w:rPr>
              <w:t>4 Điều 30 của Nghị định số</w:t>
            </w:r>
            <w:r w:rsidR="0039159D" w:rsidRPr="00EB052D">
              <w:rPr>
                <w:rFonts w:ascii="Arial" w:hAnsi="Arial" w:cs="Arial"/>
                <w:sz w:val="20"/>
                <w:szCs w:val="26"/>
              </w:rPr>
              <w:t xml:space="preserve"> 31/2021/NĐ-CP</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35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39159D"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39159D"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D76734" w:rsidRPr="00EB052D">
              <w:rPr>
                <w:rFonts w:ascii="Arial" w:hAnsi="Arial" w:cs="Arial"/>
                <w:sz w:val="20"/>
                <w:szCs w:val="26"/>
              </w:rPr>
              <w:t xml:space="preserve"> 09/4/2021 của Bộ Kế hoạch và Đầu tư quy định mẫu văn bản, báo cáo liên quan đến hoạt động đầu tư tại Việt Nam, đầu tư từ Việt </w:t>
            </w:r>
            <w:r w:rsidR="00D76734" w:rsidRPr="00EB052D">
              <w:rPr>
                <w:rFonts w:ascii="Arial" w:hAnsi="Arial" w:cs="Arial"/>
                <w:sz w:val="20"/>
                <w:szCs w:val="26"/>
              </w:rPr>
              <w:lastRenderedPageBreak/>
              <w:t>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Trực</w:t>
            </w:r>
            <w:r w:rsidR="0039159D" w:rsidRPr="00EB052D">
              <w:rPr>
                <w:rFonts w:ascii="Arial" w:hAnsi="Arial" w:cs="Arial"/>
                <w:sz w:val="20"/>
                <w:szCs w:val="26"/>
              </w:rPr>
              <w:t xml:space="preserve"> </w:t>
            </w:r>
            <w:r w:rsidRPr="00EB052D">
              <w:rPr>
                <w:rFonts w:ascii="Arial" w:hAnsi="Arial" w:cs="Arial"/>
                <w:sz w:val="20"/>
                <w:szCs w:val="26"/>
              </w:rPr>
              <w:t>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3</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1.009756</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cấp Giấy chứng nhận đăng ký đầu tư đối với dự án không thuộc diện chấp thuận chủ trương đầu tư (BQL)</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13</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D76734"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D76734"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1.009757</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 dự án đầu tư thuộc thẩm quyền chấp thuận chủ trương đầu tư của Ủy ban nhân dân cấp tỉnh (BQL)</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40</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 trực tuyến</w:t>
            </w:r>
            <w:r w:rsidR="0039159D" w:rsidRPr="00EB052D">
              <w:rPr>
                <w:rFonts w:ascii="Arial" w:hAnsi="Arial" w:cs="Arial"/>
                <w:sz w:val="20"/>
                <w:szCs w:val="26"/>
              </w:rPr>
              <w:t xml:space="preserve"> </w:t>
            </w:r>
            <w:r w:rsidRPr="00EB052D">
              <w:rPr>
                <w:rFonts w:ascii="Arial" w:hAnsi="Arial" w:cs="Arial"/>
                <w:sz w:val="20"/>
                <w:szCs w:val="26"/>
              </w:rPr>
              <w:t>mức độ</w:t>
            </w:r>
            <w:r w:rsidR="0039159D" w:rsidRPr="00EB052D">
              <w:rPr>
                <w:rFonts w:ascii="Arial" w:hAnsi="Arial" w:cs="Arial"/>
                <w:sz w:val="20"/>
                <w:szCs w:val="26"/>
              </w:rPr>
              <w:t xml:space="preserve"> </w:t>
            </w:r>
            <w:r w:rsidRPr="00EB052D">
              <w:rPr>
                <w:rFonts w:ascii="Arial" w:hAnsi="Arial" w:cs="Arial"/>
                <w:sz w:val="20"/>
                <w:szCs w:val="26"/>
              </w:rPr>
              <w:t>4</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5</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1.009762</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trong trường hợp nhà đầu</w:t>
            </w:r>
            <w:r w:rsidR="00D76734" w:rsidRPr="00EB052D">
              <w:rPr>
                <w:rFonts w:ascii="Arial" w:hAnsi="Arial" w:cs="Arial"/>
                <w:sz w:val="20"/>
                <w:szCs w:val="26"/>
              </w:rPr>
              <w:t xml:space="preserve"> tư chuyển nhượng một phần hoặc toàn bộ dự án đầu tư đối với dự án đầu tư thuộc thẩm quyền chấp thuận chủ trương đầu tư của UBND cấp tỉnh hoặc Ban 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40</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w:t>
            </w:r>
            <w:r w:rsidR="0039159D" w:rsidRPr="00EB052D">
              <w:rPr>
                <w:rFonts w:ascii="Arial" w:hAnsi="Arial" w:cs="Arial"/>
                <w:sz w:val="20"/>
                <w:szCs w:val="26"/>
              </w:rPr>
              <w:t xml:space="preserve"> </w:t>
            </w:r>
            <w:r w:rsidRPr="00EB052D">
              <w:rPr>
                <w:rFonts w:ascii="Arial" w:hAnsi="Arial" w:cs="Arial"/>
                <w:sz w:val="20"/>
                <w:szCs w:val="26"/>
              </w:rPr>
              <w:t>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w:t>
            </w:r>
            <w:r w:rsidR="00D76734" w:rsidRPr="00EB052D">
              <w:rPr>
                <w:rFonts w:ascii="Arial" w:hAnsi="Arial" w:cs="Arial"/>
                <w:sz w:val="20"/>
                <w:szCs w:val="26"/>
              </w:rPr>
              <w:t xml:space="preserve">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D76734"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D76734"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D76734" w:rsidRPr="00EB052D">
              <w:rPr>
                <w:rFonts w:ascii="Arial" w:hAnsi="Arial" w:cs="Arial"/>
                <w:sz w:val="20"/>
                <w:szCs w:val="26"/>
              </w:rPr>
              <w:t xml:space="preserve"> 26/3/2021 của Chính phủ quy định chi tiết và hướng dẫn thi hành một số điều của Luật Đầu tư. </w:t>
            </w:r>
          </w:p>
          <w:p w:rsidR="00C32870" w:rsidRPr="00EB052D" w:rsidRDefault="00D76734"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 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w:t>
            </w:r>
            <w:r w:rsidR="0039159D" w:rsidRPr="00EB052D">
              <w:rPr>
                <w:rFonts w:ascii="Arial" w:hAnsi="Arial" w:cs="Arial"/>
                <w:sz w:val="20"/>
                <w:szCs w:val="26"/>
              </w:rPr>
              <w:t xml:space="preserve"> </w:t>
            </w:r>
            <w:r w:rsidRPr="00EB052D">
              <w:rPr>
                <w:rFonts w:ascii="Arial" w:hAnsi="Arial" w:cs="Arial"/>
                <w:sz w:val="20"/>
                <w:szCs w:val="26"/>
              </w:rPr>
              <w:t>Hoặc</w:t>
            </w:r>
            <w:r w:rsidR="00D76734" w:rsidRPr="00EB052D">
              <w:rPr>
                <w:rFonts w:ascii="Arial" w:hAnsi="Arial" w:cs="Arial"/>
                <w:sz w:val="20"/>
                <w:szCs w:val="26"/>
              </w:rPr>
              <w:t xml:space="preserve"> trực tuyến mức độ 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w:t>
            </w:r>
            <w:r w:rsidR="0039159D" w:rsidRPr="00EB052D">
              <w:rPr>
                <w:rFonts w:ascii="Arial" w:hAnsi="Arial" w:cs="Arial"/>
                <w:sz w:val="20"/>
                <w:szCs w:val="26"/>
              </w:rPr>
              <w:t xml:space="preserve"> </w:t>
            </w:r>
            <w:r w:rsidRPr="00EB052D">
              <w:rPr>
                <w:rFonts w:ascii="Arial" w:hAnsi="Arial" w:cs="Arial"/>
                <w:sz w:val="20"/>
                <w:szCs w:val="26"/>
              </w:rPr>
              <w:t>Hoặc</w:t>
            </w:r>
            <w:r w:rsidR="00D76734" w:rsidRPr="00EB052D">
              <w:rPr>
                <w:rFonts w:ascii="Arial" w:hAnsi="Arial" w:cs="Arial"/>
                <w:sz w:val="20"/>
                <w:szCs w:val="26"/>
              </w:rPr>
              <w:t xml:space="preserve">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6</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1.009763</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trong trường hợp nhà đầu</w:t>
            </w:r>
            <w:r w:rsidR="0039159D" w:rsidRPr="00EB052D">
              <w:rPr>
                <w:rFonts w:ascii="Arial" w:hAnsi="Arial" w:cs="Arial"/>
                <w:sz w:val="20"/>
                <w:szCs w:val="26"/>
              </w:rPr>
              <w:t xml:space="preserve"> </w:t>
            </w:r>
            <w:r w:rsidRPr="00EB052D">
              <w:rPr>
                <w:rFonts w:ascii="Arial" w:hAnsi="Arial" w:cs="Arial"/>
                <w:sz w:val="20"/>
                <w:szCs w:val="26"/>
              </w:rPr>
              <w:t>tư nhận chuyển</w:t>
            </w:r>
            <w:r w:rsidR="0039159D" w:rsidRPr="00EB052D">
              <w:rPr>
                <w:rFonts w:ascii="Arial" w:hAnsi="Arial" w:cs="Arial"/>
                <w:sz w:val="20"/>
                <w:szCs w:val="26"/>
              </w:rPr>
              <w:t xml:space="preserve"> </w:t>
            </w:r>
            <w:r w:rsidRPr="00EB052D">
              <w:rPr>
                <w:rFonts w:ascii="Arial" w:hAnsi="Arial" w:cs="Arial"/>
                <w:sz w:val="20"/>
                <w:szCs w:val="26"/>
              </w:rPr>
              <w:t>nhượng dự án đầu tư là tài sản bảo đảm đối với dự án đầu tư thuộc thẩm quyền chấp thuận chủ trương đầu tư</w:t>
            </w:r>
            <w:r w:rsidR="0039159D" w:rsidRPr="00EB052D">
              <w:rPr>
                <w:rFonts w:ascii="Arial" w:hAnsi="Arial" w:cs="Arial"/>
                <w:sz w:val="20"/>
                <w:szCs w:val="26"/>
              </w:rPr>
              <w:t xml:space="preserve"> </w:t>
            </w:r>
            <w:r w:rsidRPr="00EB052D">
              <w:rPr>
                <w:rFonts w:ascii="Arial" w:hAnsi="Arial" w:cs="Arial"/>
                <w:sz w:val="20"/>
                <w:szCs w:val="26"/>
              </w:rPr>
              <w:t>của UBND cấp tỉnh hoặc Ban 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40</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trực tuyến mức độ 4</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7</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1.009764</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trong trường hợp chia,</w:t>
            </w:r>
            <w:r w:rsidR="0039159D" w:rsidRPr="00EB052D">
              <w:rPr>
                <w:rFonts w:ascii="Arial" w:hAnsi="Arial" w:cs="Arial"/>
                <w:sz w:val="20"/>
                <w:szCs w:val="26"/>
              </w:rPr>
              <w:t xml:space="preserve"> </w:t>
            </w:r>
            <w:r w:rsidRPr="00EB052D">
              <w:rPr>
                <w:rFonts w:ascii="Arial" w:hAnsi="Arial" w:cs="Arial"/>
                <w:sz w:val="20"/>
                <w:szCs w:val="26"/>
              </w:rPr>
              <w:t>tách, sáp nhập dự</w:t>
            </w:r>
            <w:r w:rsidR="0039159D" w:rsidRPr="00EB052D">
              <w:rPr>
                <w:rFonts w:ascii="Arial" w:hAnsi="Arial" w:cs="Arial"/>
                <w:sz w:val="20"/>
                <w:szCs w:val="26"/>
              </w:rPr>
              <w:t xml:space="preserve"> </w:t>
            </w:r>
            <w:r w:rsidRPr="00EB052D">
              <w:rPr>
                <w:rFonts w:ascii="Arial" w:hAnsi="Arial" w:cs="Arial"/>
                <w:sz w:val="20"/>
                <w:szCs w:val="26"/>
              </w:rPr>
              <w:t>án đầu tư đối với dự án đầu tư thuộc thẩm quyền chấp thuận chủ trương đầu tư của UBND</w:t>
            </w:r>
            <w:r w:rsidR="0039159D" w:rsidRPr="00EB052D">
              <w:rPr>
                <w:rFonts w:ascii="Arial" w:hAnsi="Arial" w:cs="Arial"/>
                <w:sz w:val="20"/>
                <w:szCs w:val="26"/>
              </w:rPr>
              <w:t xml:space="preserve"> </w:t>
            </w:r>
            <w:r w:rsidRPr="00EB052D">
              <w:rPr>
                <w:rFonts w:ascii="Arial" w:hAnsi="Arial" w:cs="Arial"/>
                <w:sz w:val="20"/>
                <w:szCs w:val="26"/>
              </w:rPr>
              <w:t>cấp tỉnh hoặc Ban</w:t>
            </w:r>
            <w:r w:rsidR="00125641" w:rsidRPr="00EB052D">
              <w:rPr>
                <w:rFonts w:ascii="Arial" w:hAnsi="Arial" w:cs="Arial"/>
                <w:sz w:val="20"/>
                <w:szCs w:val="26"/>
              </w:rPr>
              <w:t xml:space="preserve"> 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40</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w:t>
            </w:r>
            <w:r w:rsidR="00125641" w:rsidRPr="00EB052D">
              <w:rPr>
                <w:rFonts w:ascii="Arial" w:hAnsi="Arial" w:cs="Arial"/>
                <w:sz w:val="20"/>
                <w:szCs w:val="26"/>
              </w:rPr>
              <w:t xml:space="preserve">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w:t>
            </w:r>
            <w:r w:rsidR="0039159D" w:rsidRPr="00EB052D">
              <w:rPr>
                <w:rFonts w:ascii="Arial" w:hAnsi="Arial" w:cs="Arial"/>
                <w:sz w:val="20"/>
                <w:szCs w:val="26"/>
              </w:rPr>
              <w:t xml:space="preserve"> </w:t>
            </w:r>
            <w:r w:rsidRPr="00EB052D">
              <w:rPr>
                <w:rFonts w:ascii="Arial" w:hAnsi="Arial" w:cs="Arial"/>
                <w:sz w:val="20"/>
                <w:szCs w:val="26"/>
              </w:rPr>
              <w:t>Hoặc trực tuyến mức độ 4</w:t>
            </w:r>
            <w:r w:rsidR="0039159D" w:rsidRPr="00EB052D">
              <w:rPr>
                <w:rFonts w:ascii="Arial" w:hAnsi="Arial" w:cs="Arial"/>
                <w:sz w:val="20"/>
                <w:szCs w:val="26"/>
              </w:rPr>
              <w:t xml:space="preserve"> </w:t>
            </w:r>
            <w:r w:rsidRPr="00EB052D">
              <w:rPr>
                <w:rFonts w:ascii="Arial" w:hAnsi="Arial" w:cs="Arial"/>
                <w:sz w:val="20"/>
                <w:szCs w:val="26"/>
              </w:rPr>
              <w:t>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8</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1.009765</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trong trường hợp chia, tách, hợp nhất, sáp nhập, chuyển đổi loại hình tổ chức kinh tế đối với dự</w:t>
            </w:r>
            <w:r w:rsidR="0039159D" w:rsidRPr="00EB052D">
              <w:rPr>
                <w:rFonts w:ascii="Arial" w:hAnsi="Arial" w:cs="Arial"/>
                <w:sz w:val="20"/>
                <w:szCs w:val="26"/>
              </w:rPr>
              <w:t xml:space="preserve"> </w:t>
            </w:r>
            <w:r w:rsidRPr="00EB052D">
              <w:rPr>
                <w:rFonts w:ascii="Arial" w:hAnsi="Arial" w:cs="Arial"/>
                <w:sz w:val="20"/>
                <w:szCs w:val="26"/>
              </w:rPr>
              <w:t>án đầu tư thuộc thẩm quyền chấp thuận chủ trương đầu tư của UBND</w:t>
            </w:r>
            <w:r w:rsidR="0039159D" w:rsidRPr="00EB052D">
              <w:rPr>
                <w:rFonts w:ascii="Arial" w:hAnsi="Arial" w:cs="Arial"/>
                <w:sz w:val="20"/>
                <w:szCs w:val="26"/>
              </w:rPr>
              <w:t xml:space="preserve"> </w:t>
            </w:r>
            <w:r w:rsidRPr="00EB052D">
              <w:rPr>
                <w:rFonts w:ascii="Arial" w:hAnsi="Arial" w:cs="Arial"/>
                <w:sz w:val="20"/>
                <w:szCs w:val="26"/>
              </w:rPr>
              <w:t xml:space="preserve">cấp tỉnh hoặc </w:t>
            </w:r>
            <w:r w:rsidRPr="00EB052D">
              <w:rPr>
                <w:rFonts w:ascii="Arial" w:hAnsi="Arial" w:cs="Arial"/>
                <w:sz w:val="20"/>
                <w:szCs w:val="26"/>
              </w:rPr>
              <w:lastRenderedPageBreak/>
              <w:t>Ban</w:t>
            </w:r>
            <w:r w:rsidR="0039159D" w:rsidRPr="00EB052D">
              <w:rPr>
                <w:rFonts w:ascii="Arial" w:hAnsi="Arial" w:cs="Arial"/>
                <w:sz w:val="20"/>
                <w:szCs w:val="26"/>
              </w:rPr>
              <w:t xml:space="preserve"> </w:t>
            </w:r>
            <w:r w:rsidRPr="00EB052D">
              <w:rPr>
                <w:rFonts w:ascii="Arial" w:hAnsi="Arial" w:cs="Arial"/>
                <w:sz w:val="20"/>
                <w:szCs w:val="26"/>
              </w:rPr>
              <w:t>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40</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w:t>
            </w:r>
            <w:r w:rsidR="0039159D" w:rsidRPr="00EB052D">
              <w:rPr>
                <w:rFonts w:ascii="Arial" w:hAnsi="Arial" w:cs="Arial"/>
                <w:sz w:val="20"/>
                <w:szCs w:val="26"/>
              </w:rPr>
              <w:t xml:space="preserve"> </w:t>
            </w:r>
            <w:r w:rsidRPr="00EB052D">
              <w:rPr>
                <w:rFonts w:ascii="Arial" w:hAnsi="Arial" w:cs="Arial"/>
                <w:sz w:val="20"/>
                <w:szCs w:val="26"/>
              </w:rPr>
              <w:t xml:space="preserve">định mẫu văn bản, báo cáo liên quan đến hoạt động đầu tư tại Việt Nam, đầu tư từ Việt </w:t>
            </w:r>
            <w:r w:rsidRPr="00EB052D">
              <w:rPr>
                <w:rFonts w:ascii="Arial" w:hAnsi="Arial" w:cs="Arial"/>
                <w:sz w:val="20"/>
                <w:szCs w:val="26"/>
              </w:rPr>
              <w:lastRenderedPageBreak/>
              <w:t>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trực tuyến mức độ 4</w:t>
            </w:r>
            <w:r w:rsidR="0039159D" w:rsidRPr="00EB052D">
              <w:rPr>
                <w:rFonts w:ascii="Arial" w:hAnsi="Arial" w:cs="Arial"/>
                <w:sz w:val="20"/>
                <w:szCs w:val="26"/>
              </w:rPr>
              <w:t xml:space="preserve"> </w:t>
            </w:r>
            <w:r w:rsidRPr="00EB052D">
              <w:rPr>
                <w:rFonts w:ascii="Arial" w:hAnsi="Arial" w:cs="Arial"/>
                <w:sz w:val="20"/>
                <w:szCs w:val="26"/>
              </w:rPr>
              <w:t>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9</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1.009766</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trong trường hợp sử dụng</w:t>
            </w:r>
            <w:r w:rsidR="0039159D" w:rsidRPr="00EB052D">
              <w:rPr>
                <w:rFonts w:ascii="Arial" w:hAnsi="Arial" w:cs="Arial"/>
                <w:sz w:val="20"/>
                <w:szCs w:val="26"/>
              </w:rPr>
              <w:t xml:space="preserve"> </w:t>
            </w:r>
            <w:r w:rsidRPr="00EB052D">
              <w:rPr>
                <w:rFonts w:ascii="Arial" w:hAnsi="Arial" w:cs="Arial"/>
                <w:sz w:val="20"/>
                <w:szCs w:val="26"/>
              </w:rPr>
              <w:t>quyền sử dụng đất,</w:t>
            </w:r>
            <w:r w:rsidR="0039159D" w:rsidRPr="00EB052D">
              <w:rPr>
                <w:rFonts w:ascii="Arial" w:hAnsi="Arial" w:cs="Arial"/>
                <w:sz w:val="20"/>
                <w:szCs w:val="26"/>
              </w:rPr>
              <w:t xml:space="preserve"> </w:t>
            </w:r>
            <w:r w:rsidRPr="00EB052D">
              <w:rPr>
                <w:rFonts w:ascii="Arial" w:hAnsi="Arial" w:cs="Arial"/>
                <w:sz w:val="20"/>
                <w:szCs w:val="26"/>
              </w:rPr>
              <w:t>tài sản gắn liền với đất thuộc dự án đầu tư để góp vốn vào doanh nghiệp đối với dự án đầu tư thuộc thẩm quyền</w:t>
            </w:r>
            <w:r w:rsidR="0039159D" w:rsidRPr="00EB052D">
              <w:rPr>
                <w:rFonts w:ascii="Arial" w:hAnsi="Arial" w:cs="Arial"/>
                <w:sz w:val="20"/>
                <w:szCs w:val="26"/>
              </w:rPr>
              <w:t xml:space="preserve"> </w:t>
            </w:r>
            <w:r w:rsidRPr="00EB052D">
              <w:rPr>
                <w:rFonts w:ascii="Arial" w:hAnsi="Arial" w:cs="Arial"/>
                <w:sz w:val="20"/>
                <w:szCs w:val="26"/>
              </w:rPr>
              <w:t>chấp thuận chủ trương đầu tư của</w:t>
            </w:r>
            <w:r w:rsidR="0039159D" w:rsidRPr="00EB052D">
              <w:rPr>
                <w:rFonts w:ascii="Arial" w:hAnsi="Arial" w:cs="Arial"/>
                <w:sz w:val="20"/>
                <w:szCs w:val="26"/>
              </w:rPr>
              <w:t xml:space="preserve"> </w:t>
            </w:r>
            <w:r w:rsidRPr="00EB052D">
              <w:rPr>
                <w:rFonts w:ascii="Arial" w:hAnsi="Arial" w:cs="Arial"/>
                <w:sz w:val="20"/>
                <w:szCs w:val="26"/>
              </w:rPr>
              <w:t>UBND cấp tỉnh</w:t>
            </w:r>
            <w:r w:rsidR="0039159D" w:rsidRPr="00EB052D">
              <w:rPr>
                <w:rFonts w:ascii="Arial" w:hAnsi="Arial" w:cs="Arial"/>
                <w:sz w:val="20"/>
                <w:szCs w:val="26"/>
              </w:rPr>
              <w:t xml:space="preserve"> </w:t>
            </w:r>
            <w:r w:rsidRPr="00EB052D">
              <w:rPr>
                <w:rFonts w:ascii="Arial" w:hAnsi="Arial" w:cs="Arial"/>
                <w:sz w:val="20"/>
                <w:szCs w:val="26"/>
              </w:rPr>
              <w:t>hoặc Ban 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40</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w:t>
            </w:r>
            <w:r w:rsidR="0039159D" w:rsidRPr="00EB052D">
              <w:rPr>
                <w:rFonts w:ascii="Arial" w:hAnsi="Arial" w:cs="Arial"/>
                <w:sz w:val="20"/>
                <w:szCs w:val="26"/>
              </w:rPr>
              <w:t xml:space="preserve"> </w:t>
            </w:r>
            <w:r w:rsidRPr="00EB052D">
              <w:rPr>
                <w:rFonts w:ascii="Arial" w:hAnsi="Arial" w:cs="Arial"/>
                <w:sz w:val="20"/>
                <w:szCs w:val="26"/>
              </w:rPr>
              <w:t>hoạt động đầu tư tại Việt Nam, đầu tư từ</w:t>
            </w:r>
            <w:r w:rsidR="0039159D" w:rsidRPr="00EB052D">
              <w:rPr>
                <w:rFonts w:ascii="Arial" w:hAnsi="Arial" w:cs="Arial"/>
                <w:sz w:val="20"/>
                <w:szCs w:val="26"/>
              </w:rPr>
              <w:t xml:space="preserve"> </w:t>
            </w:r>
            <w:r w:rsidRPr="00EB052D">
              <w:rPr>
                <w:rFonts w:ascii="Arial" w:hAnsi="Arial" w:cs="Arial"/>
                <w:sz w:val="20"/>
                <w:szCs w:val="26"/>
              </w:rPr>
              <w:t>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trực tuyến mức</w:t>
            </w:r>
            <w:r w:rsidR="0039159D" w:rsidRPr="00EB052D">
              <w:rPr>
                <w:rFonts w:ascii="Arial" w:hAnsi="Arial" w:cs="Arial"/>
                <w:sz w:val="20"/>
                <w:szCs w:val="26"/>
              </w:rPr>
              <w:t xml:space="preserve"> </w:t>
            </w:r>
            <w:r w:rsidRPr="00EB052D">
              <w:rPr>
                <w:rFonts w:ascii="Arial" w:hAnsi="Arial" w:cs="Arial"/>
                <w:sz w:val="20"/>
                <w:szCs w:val="26"/>
              </w:rPr>
              <w:t>độ 4</w:t>
            </w:r>
            <w:r w:rsidR="0039159D" w:rsidRPr="00EB052D">
              <w:rPr>
                <w:rFonts w:ascii="Arial" w:hAnsi="Arial" w:cs="Arial"/>
                <w:sz w:val="20"/>
                <w:szCs w:val="26"/>
              </w:rPr>
              <w:t xml:space="preserve"> </w:t>
            </w:r>
            <w:r w:rsidRPr="00EB052D">
              <w:rPr>
                <w:rFonts w:ascii="Arial" w:hAnsi="Arial" w:cs="Arial"/>
                <w:sz w:val="20"/>
                <w:szCs w:val="26"/>
              </w:rPr>
              <w:t>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1.009767</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trong trường hợp sử dụng</w:t>
            </w:r>
            <w:r w:rsidR="00125641" w:rsidRPr="00EB052D">
              <w:rPr>
                <w:rFonts w:ascii="Arial" w:hAnsi="Arial" w:cs="Arial"/>
                <w:sz w:val="20"/>
                <w:szCs w:val="26"/>
              </w:rPr>
              <w:t xml:space="preserve"> quyền sử dụng đất, tài sản gắn liền với đất thuộc dự án đầu tư để hợp tác kinh doanh đối với dự án đầu tư thuộc thẩm quyền chấp thuận chủ trương đầu tư của UBND cấp tỉnh hoặc Ban 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40</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w:t>
            </w:r>
            <w:r w:rsidR="0039159D" w:rsidRPr="00EB052D">
              <w:rPr>
                <w:rFonts w:ascii="Arial" w:hAnsi="Arial" w:cs="Arial"/>
                <w:sz w:val="20"/>
                <w:szCs w:val="26"/>
              </w:rPr>
              <w:t xml:space="preserve"> </w:t>
            </w:r>
            <w:r w:rsidRPr="00EB052D">
              <w:rPr>
                <w:rFonts w:ascii="Arial" w:hAnsi="Arial" w:cs="Arial"/>
                <w:sz w:val="20"/>
                <w:szCs w:val="26"/>
              </w:rPr>
              <w:t>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w:t>
            </w:r>
            <w:r w:rsidR="00125641" w:rsidRPr="00EB052D">
              <w:rPr>
                <w:rFonts w:ascii="Arial" w:hAnsi="Arial" w:cs="Arial"/>
                <w:sz w:val="20"/>
                <w:szCs w:val="26"/>
              </w:rPr>
              <w:t xml:space="preserve">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125641" w:rsidRPr="00EB052D">
              <w:rPr>
                <w:rFonts w:ascii="Arial" w:hAnsi="Arial" w:cs="Arial"/>
                <w:sz w:val="20"/>
                <w:szCs w:val="26"/>
              </w:rPr>
              <w:t xml:space="preserve"> 26/3/2021 của Chính phủ quy định chi tiết và hướng dẫn thi hành một số điều của Luật Đầu tư. </w:t>
            </w:r>
          </w:p>
          <w:p w:rsidR="00C32870" w:rsidRPr="00EB052D" w:rsidRDefault="00125641"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 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w:t>
            </w:r>
            <w:r w:rsidR="0039159D" w:rsidRPr="00EB052D">
              <w:rPr>
                <w:rFonts w:ascii="Arial" w:hAnsi="Arial" w:cs="Arial"/>
                <w:sz w:val="20"/>
                <w:szCs w:val="26"/>
              </w:rPr>
              <w:t xml:space="preserve"> </w:t>
            </w:r>
            <w:r w:rsidRPr="00EB052D">
              <w:rPr>
                <w:rFonts w:ascii="Arial" w:hAnsi="Arial" w:cs="Arial"/>
                <w:sz w:val="20"/>
                <w:szCs w:val="26"/>
              </w:rPr>
              <w:t>Hoặc</w:t>
            </w:r>
            <w:r w:rsidR="00125641" w:rsidRPr="00EB052D">
              <w:rPr>
                <w:rFonts w:ascii="Arial" w:hAnsi="Arial" w:cs="Arial"/>
                <w:sz w:val="20"/>
                <w:szCs w:val="26"/>
              </w:rPr>
              <w:t xml:space="preserve"> trực tuyến mức độ 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w:t>
            </w:r>
            <w:r w:rsidR="0039159D" w:rsidRPr="00EB052D">
              <w:rPr>
                <w:rFonts w:ascii="Arial" w:hAnsi="Arial" w:cs="Arial"/>
                <w:sz w:val="20"/>
                <w:szCs w:val="26"/>
              </w:rPr>
              <w:t xml:space="preserve"> </w:t>
            </w:r>
            <w:r w:rsidRPr="00EB052D">
              <w:rPr>
                <w:rFonts w:ascii="Arial" w:hAnsi="Arial" w:cs="Arial"/>
                <w:sz w:val="20"/>
                <w:szCs w:val="26"/>
              </w:rPr>
              <w:t>Hoặc</w:t>
            </w:r>
            <w:r w:rsidR="00125641" w:rsidRPr="00EB052D">
              <w:rPr>
                <w:rFonts w:ascii="Arial" w:hAnsi="Arial" w:cs="Arial"/>
                <w:sz w:val="20"/>
                <w:szCs w:val="26"/>
              </w:rPr>
              <w:t xml:space="preserve">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11</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1.009770</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gia hạn thời hạn hoạt động của dự án đầu tư đối với dự án đầu tư thuộc thẩm quyền chấp thuận chủ trương đầu tư</w:t>
            </w:r>
            <w:r w:rsidR="0039159D" w:rsidRPr="00EB052D">
              <w:rPr>
                <w:rFonts w:ascii="Arial" w:hAnsi="Arial" w:cs="Arial"/>
                <w:sz w:val="20"/>
                <w:szCs w:val="26"/>
              </w:rPr>
              <w:t xml:space="preserve"> </w:t>
            </w:r>
            <w:r w:rsidRPr="00EB052D">
              <w:rPr>
                <w:rFonts w:ascii="Arial" w:hAnsi="Arial" w:cs="Arial"/>
                <w:sz w:val="20"/>
                <w:szCs w:val="26"/>
              </w:rPr>
              <w:t>của UBND cấp tỉnh hoặc Ban 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23</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lastRenderedPageBreak/>
              <w:t>09/4/2021 của Bộ Kế hoạch và Đầu tư quy định mẫu văn bản, báo cáo liên quan đến</w:t>
            </w:r>
            <w:r w:rsidR="0039159D" w:rsidRPr="00EB052D">
              <w:rPr>
                <w:rFonts w:ascii="Arial" w:hAnsi="Arial" w:cs="Arial"/>
                <w:sz w:val="20"/>
                <w:szCs w:val="26"/>
              </w:rPr>
              <w:t xml:space="preserve"> </w:t>
            </w:r>
            <w:r w:rsidRPr="00EB052D">
              <w:rPr>
                <w:rFonts w:ascii="Arial" w:hAnsi="Arial" w:cs="Arial"/>
                <w:sz w:val="20"/>
                <w:szCs w:val="26"/>
              </w:rPr>
              <w:t>hoạt động đầu tư tại Việt Nam, đầu tư từ</w:t>
            </w:r>
            <w:r w:rsidR="0039159D" w:rsidRPr="00EB052D">
              <w:rPr>
                <w:rFonts w:ascii="Arial" w:hAnsi="Arial" w:cs="Arial"/>
                <w:sz w:val="20"/>
                <w:szCs w:val="26"/>
              </w:rPr>
              <w:t xml:space="preserve"> </w:t>
            </w:r>
            <w:r w:rsidRPr="00EB052D">
              <w:rPr>
                <w:rFonts w:ascii="Arial" w:hAnsi="Arial" w:cs="Arial"/>
                <w:sz w:val="20"/>
                <w:szCs w:val="26"/>
              </w:rPr>
              <w:t>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Trực tiếp</w:t>
            </w:r>
            <w:r w:rsidR="0039159D" w:rsidRPr="00EB052D">
              <w:rPr>
                <w:rFonts w:ascii="Arial" w:hAnsi="Arial" w:cs="Arial"/>
                <w:sz w:val="20"/>
                <w:szCs w:val="26"/>
              </w:rPr>
              <w:t xml:space="preserve"> </w:t>
            </w:r>
            <w:r w:rsidRPr="00EB052D">
              <w:rPr>
                <w:rFonts w:ascii="Arial" w:hAnsi="Arial" w:cs="Arial"/>
                <w:sz w:val="20"/>
                <w:szCs w:val="26"/>
              </w:rPr>
              <w:t>Hoặc trực</w:t>
            </w:r>
            <w:r w:rsidR="0039159D" w:rsidRPr="00EB052D">
              <w:rPr>
                <w:rFonts w:ascii="Arial" w:hAnsi="Arial" w:cs="Arial"/>
                <w:sz w:val="20"/>
                <w:szCs w:val="26"/>
              </w:rPr>
              <w:t xml:space="preserve"> </w:t>
            </w:r>
            <w:r w:rsidRPr="00EB052D">
              <w:rPr>
                <w:rFonts w:ascii="Arial" w:hAnsi="Arial" w:cs="Arial"/>
                <w:sz w:val="20"/>
                <w:szCs w:val="26"/>
              </w:rPr>
              <w:t>tuyến mức</w:t>
            </w:r>
            <w:r w:rsidR="0039159D" w:rsidRPr="00EB052D">
              <w:rPr>
                <w:rFonts w:ascii="Arial" w:hAnsi="Arial" w:cs="Arial"/>
                <w:sz w:val="20"/>
                <w:szCs w:val="26"/>
              </w:rPr>
              <w:t xml:space="preserve"> </w:t>
            </w:r>
            <w:r w:rsidRPr="00EB052D">
              <w:rPr>
                <w:rFonts w:ascii="Arial" w:hAnsi="Arial" w:cs="Arial"/>
                <w:sz w:val="20"/>
                <w:szCs w:val="26"/>
              </w:rPr>
              <w:t>độ 4</w:t>
            </w:r>
            <w:r w:rsidR="0039159D" w:rsidRPr="00EB052D">
              <w:rPr>
                <w:rFonts w:ascii="Arial" w:hAnsi="Arial" w:cs="Arial"/>
                <w:sz w:val="20"/>
                <w:szCs w:val="26"/>
              </w:rPr>
              <w:t xml:space="preserve"> </w:t>
            </w:r>
            <w:r w:rsidRPr="00EB052D">
              <w:rPr>
                <w:rFonts w:ascii="Arial" w:hAnsi="Arial" w:cs="Arial"/>
                <w:sz w:val="20"/>
                <w:szCs w:val="26"/>
              </w:rPr>
              <w:t>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12</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1.009772</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chấm dứt hoạt động của dự</w:t>
            </w:r>
            <w:r w:rsidR="0039159D" w:rsidRPr="00EB052D">
              <w:rPr>
                <w:rFonts w:ascii="Arial" w:hAnsi="Arial" w:cs="Arial"/>
                <w:sz w:val="20"/>
                <w:szCs w:val="26"/>
              </w:rPr>
              <w:t xml:space="preserve"> </w:t>
            </w:r>
            <w:r w:rsidRPr="00EB052D">
              <w:rPr>
                <w:rFonts w:ascii="Arial" w:hAnsi="Arial" w:cs="Arial"/>
                <w:sz w:val="20"/>
                <w:szCs w:val="26"/>
              </w:rPr>
              <w:t>án đầu tư</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r w:rsidR="0039159D" w:rsidRPr="00EB052D">
              <w:rPr>
                <w:rFonts w:ascii="Arial" w:hAnsi="Arial" w:cs="Arial"/>
                <w:sz w:val="20"/>
                <w:szCs w:val="26"/>
              </w:rPr>
              <w:t xml:space="preserve"> </w:t>
            </w:r>
            <w:r w:rsidRPr="00EB052D">
              <w:rPr>
                <w:rFonts w:ascii="Arial" w:hAnsi="Arial" w:cs="Arial"/>
                <w:sz w:val="20"/>
                <w:szCs w:val="26"/>
              </w:rPr>
              <w:t>có</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125641"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w:t>
            </w:r>
            <w:r w:rsidR="00125641" w:rsidRPr="00EB052D">
              <w:rPr>
                <w:rFonts w:ascii="Arial" w:hAnsi="Arial" w:cs="Arial"/>
                <w:sz w:val="20"/>
                <w:szCs w:val="26"/>
              </w:rPr>
              <w:t xml:space="preserve">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qua BCCI</w:t>
            </w:r>
          </w:p>
        </w:tc>
      </w:tr>
    </w:tbl>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b/>
          <w:bCs/>
          <w:sz w:val="20"/>
        </w:rPr>
        <w:t>* THỦ TỤC HÀNH CHÍNH GIỮ NGUYÊN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9"/>
        <w:gridCol w:w="1087"/>
        <w:gridCol w:w="1958"/>
        <w:gridCol w:w="864"/>
        <w:gridCol w:w="1738"/>
        <w:gridCol w:w="1051"/>
        <w:gridCol w:w="4023"/>
        <w:gridCol w:w="890"/>
        <w:gridCol w:w="840"/>
      </w:tblGrid>
      <w:tr w:rsidR="00C32870" w:rsidRPr="00EB052D">
        <w:tblPrEx>
          <w:tblCellMar>
            <w:top w:w="0" w:type="dxa"/>
            <w:left w:w="0" w:type="dxa"/>
            <w:bottom w:w="0" w:type="dxa"/>
            <w:right w:w="0" w:type="dxa"/>
          </w:tblCellMar>
        </w:tblPrEx>
        <w:tc>
          <w:tcPr>
            <w:tcW w:w="200"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ST T</w:t>
            </w:r>
          </w:p>
        </w:tc>
        <w:tc>
          <w:tcPr>
            <w:tcW w:w="419"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Mã số</w:t>
            </w:r>
            <w:r w:rsidR="0039159D" w:rsidRPr="00EB052D">
              <w:rPr>
                <w:rFonts w:ascii="Arial" w:hAnsi="Arial" w:cs="Arial"/>
                <w:sz w:val="20"/>
                <w:szCs w:val="26"/>
              </w:rPr>
              <w:t xml:space="preserve"> </w:t>
            </w:r>
            <w:r w:rsidRPr="00EB052D">
              <w:rPr>
                <w:rFonts w:ascii="Arial" w:hAnsi="Arial" w:cs="Arial"/>
                <w:b/>
                <w:bCs/>
                <w:sz w:val="20"/>
                <w:szCs w:val="26"/>
              </w:rPr>
              <w:t>TTHC</w:t>
            </w:r>
          </w:p>
        </w:tc>
        <w:tc>
          <w:tcPr>
            <w:tcW w:w="755"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TÊN TTHC</w:t>
            </w:r>
          </w:p>
        </w:tc>
        <w:tc>
          <w:tcPr>
            <w:tcW w:w="333"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Thời hạn giải quyết</w:t>
            </w:r>
          </w:p>
        </w:tc>
        <w:tc>
          <w:tcPr>
            <w:tcW w:w="670"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Địa điểm thực hiện</w:t>
            </w:r>
          </w:p>
        </w:tc>
        <w:tc>
          <w:tcPr>
            <w:tcW w:w="405"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 xml:space="preserve">Phí, lệ phí </w:t>
            </w:r>
            <w:r w:rsidR="00125641" w:rsidRPr="00EB052D">
              <w:rPr>
                <w:rFonts w:ascii="Arial" w:hAnsi="Arial" w:cs="Arial"/>
                <w:b/>
                <w:bCs/>
                <w:sz w:val="20"/>
                <w:szCs w:val="26"/>
              </w:rPr>
              <w:br/>
            </w:r>
            <w:r w:rsidRPr="00EB052D">
              <w:rPr>
                <w:rFonts w:ascii="Arial" w:hAnsi="Arial" w:cs="Arial"/>
                <w:i/>
                <w:iCs/>
                <w:sz w:val="20"/>
                <w:szCs w:val="26"/>
              </w:rPr>
              <w:t>(đồng)</w:t>
            </w:r>
          </w:p>
        </w:tc>
        <w:tc>
          <w:tcPr>
            <w:tcW w:w="1551" w:type="pct"/>
            <w:vMerge w:val="restar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Tên VBQPPL quy định nội dung TTHC</w:t>
            </w:r>
          </w:p>
        </w:tc>
        <w:tc>
          <w:tcPr>
            <w:tcW w:w="667" w:type="pct"/>
            <w:gridSpan w:val="2"/>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Cách thức thực hiện</w:t>
            </w:r>
          </w:p>
        </w:tc>
      </w:tr>
      <w:tr w:rsidR="00C32870" w:rsidRPr="00EB052D">
        <w:tblPrEx>
          <w:tblCellMar>
            <w:top w:w="0" w:type="dxa"/>
            <w:left w:w="0" w:type="dxa"/>
            <w:bottom w:w="0" w:type="dxa"/>
            <w:right w:w="0" w:type="dxa"/>
          </w:tblCellMar>
        </w:tblPrEx>
        <w:tc>
          <w:tcPr>
            <w:tcW w:w="200"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419"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755"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333"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670"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405" w:type="pct"/>
            <w:vMerge/>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p>
        </w:tc>
        <w:tc>
          <w:tcPr>
            <w:tcW w:w="1551" w:type="pct"/>
            <w:vMerge/>
            <w:vAlign w:val="center"/>
          </w:tcPr>
          <w:p w:rsidR="00C32870" w:rsidRPr="00EB052D" w:rsidRDefault="00C32870" w:rsidP="00EB052D">
            <w:pPr>
              <w:widowControl w:val="0"/>
              <w:autoSpaceDE w:val="0"/>
              <w:autoSpaceDN w:val="0"/>
              <w:adjustRightInd w:val="0"/>
              <w:spacing w:before="120"/>
              <w:rPr>
                <w:rFonts w:ascii="Arial" w:hAnsi="Arial" w:cs="Arial"/>
                <w:sz w:val="20"/>
              </w:rPr>
            </w:pP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Nộp hồ sơ</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6"/>
              </w:rPr>
              <w:t>Trả hồ sơ</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8"/>
              </w:rPr>
              <w:t>I.</w:t>
            </w:r>
          </w:p>
        </w:tc>
        <w:tc>
          <w:tcPr>
            <w:tcW w:w="4800" w:type="pct"/>
            <w:gridSpan w:val="8"/>
            <w:vAlign w:val="center"/>
          </w:tcPr>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b/>
                <w:bCs/>
                <w:sz w:val="20"/>
                <w:szCs w:val="28"/>
              </w:rPr>
              <w:t>LĨNH VỰC ĐẦU TƯ</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13</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1.009759</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 dự án đầu tư thuộc thẩm quyền chấp thuận chủ trương đầu tư của Ban</w:t>
            </w:r>
            <w:r w:rsidR="0039159D" w:rsidRPr="00EB052D">
              <w:rPr>
                <w:rFonts w:ascii="Arial" w:hAnsi="Arial" w:cs="Arial"/>
                <w:sz w:val="20"/>
                <w:szCs w:val="26"/>
              </w:rPr>
              <w:t xml:space="preserve"> </w:t>
            </w:r>
            <w:r w:rsidRPr="00EB052D">
              <w:rPr>
                <w:rFonts w:ascii="Arial" w:hAnsi="Arial" w:cs="Arial"/>
                <w:sz w:val="20"/>
                <w:szCs w:val="26"/>
              </w:rPr>
              <w:t>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43</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0618D6"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0618D6"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 trực tuyến</w:t>
            </w:r>
            <w:r w:rsidR="0039159D" w:rsidRPr="00EB052D">
              <w:rPr>
                <w:rFonts w:ascii="Arial" w:hAnsi="Arial" w:cs="Arial"/>
                <w:sz w:val="20"/>
                <w:szCs w:val="26"/>
              </w:rPr>
              <w:t xml:space="preserve"> </w:t>
            </w:r>
            <w:r w:rsidRPr="00EB052D">
              <w:rPr>
                <w:rFonts w:ascii="Arial" w:hAnsi="Arial" w:cs="Arial"/>
                <w:sz w:val="20"/>
                <w:szCs w:val="26"/>
              </w:rPr>
              <w:t>mức</w:t>
            </w:r>
            <w:r w:rsidR="0039159D" w:rsidRPr="00EB052D">
              <w:rPr>
                <w:rFonts w:ascii="Arial" w:hAnsi="Arial" w:cs="Arial"/>
                <w:sz w:val="20"/>
                <w:szCs w:val="26"/>
              </w:rPr>
              <w:t xml:space="preserve"> </w:t>
            </w:r>
            <w:r w:rsidRPr="00EB052D">
              <w:rPr>
                <w:rFonts w:ascii="Arial" w:hAnsi="Arial" w:cs="Arial"/>
                <w:sz w:val="20"/>
                <w:szCs w:val="26"/>
              </w:rPr>
              <w:t>độ 4</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14</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1.009760</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trong trường hợp dự án</w:t>
            </w:r>
            <w:r w:rsidR="0039159D" w:rsidRPr="00EB052D">
              <w:rPr>
                <w:rFonts w:ascii="Arial" w:hAnsi="Arial" w:cs="Arial"/>
                <w:sz w:val="20"/>
                <w:szCs w:val="26"/>
              </w:rPr>
              <w:t xml:space="preserve"> </w:t>
            </w:r>
            <w:r w:rsidRPr="00EB052D">
              <w:rPr>
                <w:rFonts w:ascii="Arial" w:hAnsi="Arial" w:cs="Arial"/>
                <w:sz w:val="20"/>
                <w:szCs w:val="26"/>
              </w:rPr>
              <w:t>đã được cấp Giấy</w:t>
            </w:r>
            <w:r w:rsidR="0039159D" w:rsidRPr="00EB052D">
              <w:rPr>
                <w:rFonts w:ascii="Arial" w:hAnsi="Arial" w:cs="Arial"/>
                <w:sz w:val="20"/>
                <w:szCs w:val="26"/>
              </w:rPr>
              <w:t xml:space="preserve"> </w:t>
            </w:r>
            <w:r w:rsidRPr="00EB052D">
              <w:rPr>
                <w:rFonts w:ascii="Arial" w:hAnsi="Arial" w:cs="Arial"/>
                <w:sz w:val="20"/>
                <w:szCs w:val="26"/>
              </w:rPr>
              <w:t>chứng nhận đăng ký đầu tư và không thuộc diện chấp thuận điều chỉnh chủ trương đầu tư</w:t>
            </w:r>
            <w:r w:rsidR="004F732E" w:rsidRPr="00EB052D">
              <w:rPr>
                <w:rFonts w:ascii="Arial" w:hAnsi="Arial" w:cs="Arial"/>
                <w:sz w:val="20"/>
                <w:szCs w:val="26"/>
              </w:rPr>
              <w:t xml:space="preserve"> đối với dự án đầu tư thuộc thẩm quyền chấp thuận chủ trương đầu tư của UBND cấp tỉnh hoặc Ban Quản lý</w:t>
            </w:r>
          </w:p>
        </w:tc>
        <w:tc>
          <w:tcPr>
            <w:tcW w:w="333" w:type="pct"/>
            <w:vAlign w:val="center"/>
          </w:tcPr>
          <w:p w:rsidR="004F732E" w:rsidRPr="00EB052D" w:rsidRDefault="00C32870" w:rsidP="00EB052D">
            <w:pPr>
              <w:widowControl w:val="0"/>
              <w:autoSpaceDE w:val="0"/>
              <w:autoSpaceDN w:val="0"/>
              <w:adjustRightInd w:val="0"/>
              <w:spacing w:before="120"/>
              <w:jc w:val="center"/>
              <w:rPr>
                <w:rFonts w:ascii="Arial" w:hAnsi="Arial" w:cs="Arial"/>
                <w:sz w:val="20"/>
                <w:szCs w:val="26"/>
              </w:rPr>
            </w:pPr>
            <w:r w:rsidRPr="00EB052D">
              <w:rPr>
                <w:rFonts w:ascii="Arial" w:hAnsi="Arial" w:cs="Arial"/>
                <w:sz w:val="20"/>
                <w:szCs w:val="26"/>
              </w:rPr>
              <w:t>- Trường hợp 1:</w:t>
            </w:r>
            <w:r w:rsidR="0039159D" w:rsidRPr="00EB052D">
              <w:rPr>
                <w:rFonts w:ascii="Arial" w:hAnsi="Arial" w:cs="Arial"/>
                <w:sz w:val="20"/>
                <w:szCs w:val="26"/>
              </w:rPr>
              <w:t xml:space="preserve"> </w:t>
            </w:r>
            <w:r w:rsidRPr="00EB052D">
              <w:rPr>
                <w:rFonts w:ascii="Arial" w:hAnsi="Arial" w:cs="Arial"/>
                <w:sz w:val="20"/>
                <w:szCs w:val="26"/>
              </w:rPr>
              <w:t>03 ngày làm việc.</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w:t>
            </w:r>
            <w:r w:rsidR="004F732E" w:rsidRPr="00EB052D">
              <w:rPr>
                <w:rFonts w:ascii="Arial" w:hAnsi="Arial" w:cs="Arial"/>
                <w:sz w:val="20"/>
                <w:szCs w:val="26"/>
              </w:rPr>
              <w:t xml:space="preserve"> Trường hợp 2: 10 ngày làm việc.</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0618D6"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w:t>
            </w:r>
            <w:r w:rsidR="004F732E" w:rsidRPr="00EB052D">
              <w:rPr>
                <w:rFonts w:ascii="Arial" w:hAnsi="Arial" w:cs="Arial"/>
                <w:sz w:val="20"/>
                <w:szCs w:val="26"/>
              </w:rPr>
              <w:t xml:space="preserve">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w:t>
            </w:r>
            <w:r w:rsidR="0039159D" w:rsidRPr="00EB052D">
              <w:rPr>
                <w:rFonts w:ascii="Arial" w:hAnsi="Arial" w:cs="Arial"/>
                <w:sz w:val="20"/>
                <w:szCs w:val="26"/>
              </w:rPr>
              <w:t xml:space="preserve"> </w:t>
            </w:r>
            <w:r w:rsidRPr="00EB052D">
              <w:rPr>
                <w:rFonts w:ascii="Arial" w:hAnsi="Arial" w:cs="Arial"/>
                <w:sz w:val="20"/>
                <w:szCs w:val="26"/>
              </w:rPr>
              <w:t>Hoặc trực tuyến mức độ 4</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4F732E" w:rsidRPr="00EB052D">
              <w:rPr>
                <w:rFonts w:ascii="Arial" w:hAnsi="Arial" w:cs="Arial"/>
                <w:sz w:val="20"/>
                <w:szCs w:val="26"/>
              </w:rPr>
              <w:t xml:space="preserve">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15</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1.009768</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 dự án đầu tư theo bản án, quyết định</w:t>
            </w:r>
            <w:r w:rsidR="0039159D" w:rsidRPr="00EB052D">
              <w:rPr>
                <w:rFonts w:ascii="Arial" w:hAnsi="Arial" w:cs="Arial"/>
                <w:sz w:val="20"/>
                <w:szCs w:val="26"/>
              </w:rPr>
              <w:t xml:space="preserve"> </w:t>
            </w:r>
            <w:r w:rsidRPr="00EB052D">
              <w:rPr>
                <w:rFonts w:ascii="Arial" w:hAnsi="Arial" w:cs="Arial"/>
                <w:sz w:val="20"/>
                <w:szCs w:val="26"/>
              </w:rPr>
              <w:t>của tòa án, trọng tài đối với dự án đầu</w:t>
            </w:r>
            <w:r w:rsidR="0039159D" w:rsidRPr="00EB052D">
              <w:rPr>
                <w:rFonts w:ascii="Arial" w:hAnsi="Arial" w:cs="Arial"/>
                <w:sz w:val="20"/>
                <w:szCs w:val="26"/>
              </w:rPr>
              <w:t xml:space="preserve"> </w:t>
            </w:r>
            <w:r w:rsidRPr="00EB052D">
              <w:rPr>
                <w:rFonts w:ascii="Arial" w:hAnsi="Arial" w:cs="Arial"/>
                <w:sz w:val="20"/>
                <w:szCs w:val="26"/>
              </w:rPr>
              <w:t>tư đã được chấp</w:t>
            </w:r>
            <w:r w:rsidR="0039159D" w:rsidRPr="00EB052D">
              <w:rPr>
                <w:rFonts w:ascii="Arial" w:hAnsi="Arial" w:cs="Arial"/>
                <w:sz w:val="20"/>
                <w:szCs w:val="26"/>
              </w:rPr>
              <w:t xml:space="preserve"> </w:t>
            </w:r>
            <w:r w:rsidRPr="00EB052D">
              <w:rPr>
                <w:rFonts w:ascii="Arial" w:hAnsi="Arial" w:cs="Arial"/>
                <w:sz w:val="20"/>
                <w:szCs w:val="26"/>
              </w:rPr>
              <w:t>thuận chủ trương đầu tư (Khoản 3</w:t>
            </w:r>
            <w:r w:rsidR="0039159D" w:rsidRPr="00EB052D">
              <w:rPr>
                <w:rFonts w:ascii="Arial" w:hAnsi="Arial" w:cs="Arial"/>
                <w:sz w:val="20"/>
                <w:szCs w:val="26"/>
              </w:rPr>
              <w:t xml:space="preserve"> </w:t>
            </w:r>
            <w:r w:rsidRPr="00EB052D">
              <w:rPr>
                <w:rFonts w:ascii="Arial" w:hAnsi="Arial" w:cs="Arial"/>
                <w:sz w:val="20"/>
                <w:szCs w:val="26"/>
              </w:rPr>
              <w:t>Điều 54 Nghị định số 31/2021/NĐ-</w:t>
            </w:r>
            <w:r w:rsidR="0039159D" w:rsidRPr="00EB052D">
              <w:rPr>
                <w:rFonts w:ascii="Arial" w:hAnsi="Arial" w:cs="Arial"/>
                <w:sz w:val="20"/>
                <w:szCs w:val="26"/>
              </w:rPr>
              <w:t xml:space="preserve"> </w:t>
            </w:r>
            <w:r w:rsidRPr="00EB052D">
              <w:rPr>
                <w:rFonts w:ascii="Arial" w:hAnsi="Arial" w:cs="Arial"/>
                <w:sz w:val="20"/>
                <w:szCs w:val="26"/>
              </w:rPr>
              <w:t>CP)</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12</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w:t>
            </w:r>
            <w:r w:rsidR="0039159D" w:rsidRPr="00EB052D">
              <w:rPr>
                <w:rFonts w:ascii="Arial" w:hAnsi="Arial" w:cs="Arial"/>
                <w:sz w:val="20"/>
                <w:szCs w:val="26"/>
              </w:rPr>
              <w:t xml:space="preserve"> </w:t>
            </w:r>
            <w:r w:rsidRPr="00EB052D">
              <w:rPr>
                <w:rFonts w:ascii="Arial" w:hAnsi="Arial" w:cs="Arial"/>
                <w:sz w:val="20"/>
                <w:szCs w:val="26"/>
              </w:rPr>
              <w:t>hoạt động đầu tư tại Việt Nam, đầu tư từ</w:t>
            </w:r>
            <w:r w:rsidR="0039159D" w:rsidRPr="00EB052D">
              <w:rPr>
                <w:rFonts w:ascii="Arial" w:hAnsi="Arial" w:cs="Arial"/>
                <w:sz w:val="20"/>
                <w:szCs w:val="26"/>
              </w:rPr>
              <w:t xml:space="preserve"> </w:t>
            </w:r>
            <w:r w:rsidRPr="00EB052D">
              <w:rPr>
                <w:rFonts w:ascii="Arial" w:hAnsi="Arial" w:cs="Arial"/>
                <w:sz w:val="20"/>
                <w:szCs w:val="26"/>
              </w:rPr>
              <w:t>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 trực</w:t>
            </w:r>
            <w:r w:rsidR="0039159D" w:rsidRPr="00EB052D">
              <w:rPr>
                <w:rFonts w:ascii="Arial" w:hAnsi="Arial" w:cs="Arial"/>
                <w:sz w:val="20"/>
                <w:szCs w:val="26"/>
              </w:rPr>
              <w:t xml:space="preserve"> </w:t>
            </w:r>
            <w:r w:rsidRPr="00EB052D">
              <w:rPr>
                <w:rFonts w:ascii="Arial" w:hAnsi="Arial" w:cs="Arial"/>
                <w:sz w:val="20"/>
                <w:szCs w:val="26"/>
              </w:rPr>
              <w:t>tuyến</w:t>
            </w:r>
            <w:r w:rsidR="0039159D" w:rsidRPr="00EB052D">
              <w:rPr>
                <w:rFonts w:ascii="Arial" w:hAnsi="Arial" w:cs="Arial"/>
                <w:sz w:val="20"/>
                <w:szCs w:val="26"/>
              </w:rPr>
              <w:t xml:space="preserve"> </w:t>
            </w:r>
            <w:r w:rsidRPr="00EB052D">
              <w:rPr>
                <w:rFonts w:ascii="Arial" w:hAnsi="Arial" w:cs="Arial"/>
                <w:sz w:val="20"/>
                <w:szCs w:val="26"/>
              </w:rPr>
              <w:t>mức độ 4</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16</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1.009769</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điều chỉnh</w:t>
            </w:r>
            <w:r w:rsidR="0039159D" w:rsidRPr="00EB052D">
              <w:rPr>
                <w:rFonts w:ascii="Arial" w:hAnsi="Arial" w:cs="Arial"/>
                <w:sz w:val="20"/>
                <w:szCs w:val="26"/>
              </w:rPr>
              <w:t xml:space="preserve"> </w:t>
            </w:r>
            <w:r w:rsidRPr="00EB052D">
              <w:rPr>
                <w:rFonts w:ascii="Arial" w:hAnsi="Arial" w:cs="Arial"/>
                <w:sz w:val="20"/>
                <w:szCs w:val="26"/>
              </w:rPr>
              <w:t>dự án đầu tư theo bản án, quyết định</w:t>
            </w:r>
            <w:r w:rsidR="0039159D" w:rsidRPr="00EB052D">
              <w:rPr>
                <w:rFonts w:ascii="Arial" w:hAnsi="Arial" w:cs="Arial"/>
                <w:sz w:val="20"/>
                <w:szCs w:val="26"/>
              </w:rPr>
              <w:t xml:space="preserve"> </w:t>
            </w:r>
            <w:r w:rsidRPr="00EB052D">
              <w:rPr>
                <w:rFonts w:ascii="Arial" w:hAnsi="Arial" w:cs="Arial"/>
                <w:sz w:val="20"/>
                <w:szCs w:val="26"/>
              </w:rPr>
              <w:t>của tòa án, trọng tài đối với dự án đầu</w:t>
            </w:r>
            <w:r w:rsidR="0039159D" w:rsidRPr="00EB052D">
              <w:rPr>
                <w:rFonts w:ascii="Arial" w:hAnsi="Arial" w:cs="Arial"/>
                <w:sz w:val="20"/>
                <w:szCs w:val="26"/>
              </w:rPr>
              <w:t xml:space="preserve"> </w:t>
            </w:r>
            <w:r w:rsidRPr="00EB052D">
              <w:rPr>
                <w:rFonts w:ascii="Arial" w:hAnsi="Arial" w:cs="Arial"/>
                <w:sz w:val="20"/>
                <w:szCs w:val="26"/>
              </w:rPr>
              <w:t>tư đã được cấp</w:t>
            </w:r>
            <w:r w:rsidR="0039159D" w:rsidRPr="00EB052D">
              <w:rPr>
                <w:rFonts w:ascii="Arial" w:hAnsi="Arial" w:cs="Arial"/>
                <w:sz w:val="20"/>
                <w:szCs w:val="26"/>
              </w:rPr>
              <w:t xml:space="preserve"> </w:t>
            </w:r>
            <w:r w:rsidRPr="00EB052D">
              <w:rPr>
                <w:rFonts w:ascii="Arial" w:hAnsi="Arial" w:cs="Arial"/>
                <w:sz w:val="20"/>
                <w:szCs w:val="26"/>
              </w:rPr>
              <w:t>Giấy chứng nhận đăng ký đầu tư và không thuộc diện</w:t>
            </w:r>
            <w:r w:rsidR="0039159D" w:rsidRPr="00EB052D">
              <w:rPr>
                <w:rFonts w:ascii="Arial" w:hAnsi="Arial" w:cs="Arial"/>
                <w:sz w:val="20"/>
                <w:szCs w:val="26"/>
              </w:rPr>
              <w:t xml:space="preserve"> </w:t>
            </w:r>
            <w:r w:rsidRPr="00EB052D">
              <w:rPr>
                <w:rFonts w:ascii="Arial" w:hAnsi="Arial" w:cs="Arial"/>
                <w:sz w:val="20"/>
                <w:szCs w:val="26"/>
              </w:rPr>
              <w:t xml:space="preserve">chấp thuận chủ </w:t>
            </w:r>
            <w:r w:rsidRPr="00EB052D">
              <w:rPr>
                <w:rFonts w:ascii="Arial" w:hAnsi="Arial" w:cs="Arial"/>
                <w:sz w:val="20"/>
                <w:szCs w:val="26"/>
              </w:rPr>
              <w:lastRenderedPageBreak/>
              <w:t>trương đầu tư hoặc dự án đã được chấp</w:t>
            </w:r>
            <w:r w:rsidR="0039159D" w:rsidRPr="00EB052D">
              <w:rPr>
                <w:rFonts w:ascii="Arial" w:hAnsi="Arial" w:cs="Arial"/>
                <w:sz w:val="20"/>
                <w:szCs w:val="26"/>
              </w:rPr>
              <w:t xml:space="preserve"> </w:t>
            </w:r>
            <w:r w:rsidRPr="00EB052D">
              <w:rPr>
                <w:rFonts w:ascii="Arial" w:hAnsi="Arial" w:cs="Arial"/>
                <w:sz w:val="20"/>
                <w:szCs w:val="26"/>
              </w:rPr>
              <w:t>thuận chủ trương</w:t>
            </w:r>
            <w:r w:rsidR="004F732E" w:rsidRPr="00EB052D">
              <w:rPr>
                <w:rFonts w:ascii="Arial" w:hAnsi="Arial" w:cs="Arial"/>
                <w:sz w:val="20"/>
                <w:szCs w:val="26"/>
              </w:rPr>
              <w:t xml:space="preserve"> đầu tư nhưng không thuộc trường hợp quy định tại khoản 3 Điều 41 của Luật Đầu tư (Khoản 4 Điều 54 Nghị định số 31/2021/NĐ-CP)</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05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 xml:space="preserve">09/4/2021 của Bộ Kế hoạch và Đầu tư quy </w:t>
            </w:r>
            <w:r w:rsidRPr="00EB052D">
              <w:rPr>
                <w:rFonts w:ascii="Arial" w:hAnsi="Arial" w:cs="Arial"/>
                <w:sz w:val="20"/>
                <w:szCs w:val="26"/>
              </w:rPr>
              <w:lastRenderedPageBreak/>
              <w:t>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Trực tiếp</w:t>
            </w:r>
            <w:r w:rsidR="0039159D" w:rsidRPr="00EB052D">
              <w:rPr>
                <w:rFonts w:ascii="Arial" w:hAnsi="Arial" w:cs="Arial"/>
                <w:sz w:val="20"/>
                <w:szCs w:val="26"/>
              </w:rPr>
              <w:t xml:space="preserve"> </w:t>
            </w:r>
            <w:r w:rsidRPr="00EB052D">
              <w:rPr>
                <w:rFonts w:ascii="Arial" w:hAnsi="Arial" w:cs="Arial"/>
                <w:sz w:val="20"/>
                <w:szCs w:val="26"/>
              </w:rPr>
              <w:t>Hoặc trực</w:t>
            </w:r>
            <w:r w:rsidR="0039159D" w:rsidRPr="00EB052D">
              <w:rPr>
                <w:rFonts w:ascii="Arial" w:hAnsi="Arial" w:cs="Arial"/>
                <w:sz w:val="20"/>
                <w:szCs w:val="26"/>
              </w:rPr>
              <w:t xml:space="preserve"> </w:t>
            </w:r>
            <w:r w:rsidRPr="00EB052D">
              <w:rPr>
                <w:rFonts w:ascii="Arial" w:hAnsi="Arial" w:cs="Arial"/>
                <w:sz w:val="20"/>
                <w:szCs w:val="26"/>
              </w:rPr>
              <w:t>tuyến</w:t>
            </w:r>
            <w:r w:rsidR="0039159D" w:rsidRPr="00EB052D">
              <w:rPr>
                <w:rFonts w:ascii="Arial" w:hAnsi="Arial" w:cs="Arial"/>
                <w:sz w:val="20"/>
                <w:szCs w:val="26"/>
              </w:rPr>
              <w:t xml:space="preserve"> </w:t>
            </w:r>
            <w:r w:rsidRPr="00EB052D">
              <w:rPr>
                <w:rFonts w:ascii="Arial" w:hAnsi="Arial" w:cs="Arial"/>
                <w:sz w:val="20"/>
                <w:szCs w:val="26"/>
              </w:rPr>
              <w:t>mức độ 4</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17</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1.009771</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ngừng hoạt động của dự án đối với dự án đầu tư thuộc thẩm quyền chấp thuận chủ trương đầu tư của UBND cấp tỉnh hoặc Ban Quản lý</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05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w:t>
            </w:r>
            <w:r w:rsidR="0039159D" w:rsidRPr="00EB052D">
              <w:rPr>
                <w:rFonts w:ascii="Arial" w:hAnsi="Arial" w:cs="Arial"/>
                <w:sz w:val="20"/>
                <w:szCs w:val="26"/>
              </w:rPr>
              <w:t xml:space="preserve"> </w:t>
            </w:r>
            <w:r w:rsidRPr="00EB052D">
              <w:rPr>
                <w:rFonts w:ascii="Arial" w:hAnsi="Arial" w:cs="Arial"/>
                <w:sz w:val="20"/>
                <w:szCs w:val="26"/>
              </w:rPr>
              <w:t>Hoặc</w:t>
            </w:r>
            <w:r w:rsidR="0039159D" w:rsidRPr="00EB052D">
              <w:rPr>
                <w:rFonts w:ascii="Arial" w:hAnsi="Arial" w:cs="Arial"/>
                <w:sz w:val="20"/>
                <w:szCs w:val="26"/>
              </w:rPr>
              <w:t xml:space="preserve"> </w:t>
            </w:r>
            <w:r w:rsidRPr="00EB052D">
              <w:rPr>
                <w:rFonts w:ascii="Arial" w:hAnsi="Arial" w:cs="Arial"/>
                <w:sz w:val="20"/>
                <w:szCs w:val="26"/>
              </w:rPr>
              <w:t>qua</w:t>
            </w:r>
            <w:r w:rsidR="0039159D" w:rsidRPr="00EB052D">
              <w:rPr>
                <w:rFonts w:ascii="Arial" w:hAnsi="Arial" w:cs="Arial"/>
                <w:sz w:val="20"/>
                <w:szCs w:val="26"/>
              </w:rPr>
              <w:t xml:space="preserve"> </w:t>
            </w:r>
            <w:r w:rsidRPr="00EB052D">
              <w:rPr>
                <w:rFonts w:ascii="Arial" w:hAnsi="Arial" w:cs="Arial"/>
                <w:sz w:val="20"/>
                <w:szCs w:val="26"/>
              </w:rPr>
              <w:t>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18</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1.009774</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cấp lại hoặc hiệu đính Giấy chứng nhận đăng ký đầu tư</w:t>
            </w:r>
          </w:p>
        </w:tc>
        <w:tc>
          <w:tcPr>
            <w:tcW w:w="333" w:type="pct"/>
            <w:vAlign w:val="center"/>
          </w:tcPr>
          <w:p w:rsidR="004F732E" w:rsidRPr="00EB052D" w:rsidRDefault="00C32870" w:rsidP="00EB052D">
            <w:pPr>
              <w:widowControl w:val="0"/>
              <w:autoSpaceDE w:val="0"/>
              <w:autoSpaceDN w:val="0"/>
              <w:adjustRightInd w:val="0"/>
              <w:spacing w:before="120"/>
              <w:jc w:val="center"/>
              <w:rPr>
                <w:rFonts w:ascii="Arial" w:hAnsi="Arial" w:cs="Arial"/>
                <w:sz w:val="20"/>
                <w:szCs w:val="26"/>
              </w:rPr>
            </w:pPr>
            <w:r w:rsidRPr="00EB052D">
              <w:rPr>
                <w:rFonts w:ascii="Arial" w:hAnsi="Arial" w:cs="Arial"/>
                <w:sz w:val="20"/>
                <w:szCs w:val="26"/>
              </w:rPr>
              <w:t>- Cấp lại: 05 ngày làm việc.</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 Hiệu đính:</w:t>
            </w:r>
            <w:r w:rsidR="0039159D" w:rsidRPr="00EB052D">
              <w:rPr>
                <w:rFonts w:ascii="Arial" w:hAnsi="Arial" w:cs="Arial"/>
                <w:sz w:val="20"/>
                <w:szCs w:val="26"/>
              </w:rPr>
              <w:t xml:space="preserve"> </w:t>
            </w:r>
            <w:r w:rsidRPr="00EB052D">
              <w:rPr>
                <w:rFonts w:ascii="Arial" w:hAnsi="Arial" w:cs="Arial"/>
                <w:sz w:val="20"/>
                <w:szCs w:val="26"/>
              </w:rPr>
              <w:t>03</w:t>
            </w:r>
            <w:r w:rsidR="0039159D" w:rsidRPr="00EB052D">
              <w:rPr>
                <w:rFonts w:ascii="Arial" w:hAnsi="Arial" w:cs="Arial"/>
                <w:sz w:val="20"/>
                <w:szCs w:val="26"/>
              </w:rPr>
              <w:t xml:space="preserve"> </w:t>
            </w:r>
            <w:r w:rsidRPr="00EB052D">
              <w:rPr>
                <w:rFonts w:ascii="Arial" w:hAnsi="Arial" w:cs="Arial"/>
                <w:sz w:val="20"/>
                <w:szCs w:val="26"/>
              </w:rPr>
              <w:t>ngày làm</w:t>
            </w:r>
            <w:r w:rsidR="004F732E" w:rsidRPr="00EB052D">
              <w:rPr>
                <w:rFonts w:ascii="Arial" w:hAnsi="Arial" w:cs="Arial"/>
                <w:sz w:val="20"/>
                <w:szCs w:val="26"/>
              </w:rPr>
              <w:t xml:space="preserve"> việc.</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 Việt Nam ra nước ngoài và xúc tiến đầu</w:t>
            </w:r>
            <w:r w:rsidR="004F732E" w:rsidRPr="00EB052D">
              <w:rPr>
                <w:rFonts w:ascii="Arial" w:hAnsi="Arial" w:cs="Arial"/>
                <w:sz w:val="20"/>
                <w:szCs w:val="26"/>
              </w:rPr>
              <w:t xml:space="preserve">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r w:rsidR="0039159D" w:rsidRPr="00EB052D">
              <w:rPr>
                <w:rFonts w:ascii="Arial" w:hAnsi="Arial" w:cs="Arial"/>
                <w:sz w:val="20"/>
                <w:szCs w:val="26"/>
              </w:rPr>
              <w:t xml:space="preserve"> </w:t>
            </w:r>
            <w:r w:rsidRPr="00EB052D">
              <w:rPr>
                <w:rFonts w:ascii="Arial" w:hAnsi="Arial" w:cs="Arial"/>
                <w:sz w:val="20"/>
                <w:szCs w:val="26"/>
              </w:rPr>
              <w:t>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19</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1.009773</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 xml:space="preserve">Thủ tục đổi Giấy </w:t>
            </w:r>
            <w:r w:rsidRPr="00EB052D">
              <w:rPr>
                <w:rFonts w:ascii="Arial" w:hAnsi="Arial" w:cs="Arial"/>
                <w:sz w:val="20"/>
                <w:szCs w:val="26"/>
              </w:rPr>
              <w:lastRenderedPageBreak/>
              <w:t>chứng nhận đăng ký đầu tư (BQL)</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03</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 xml:space="preserve">Trung tâm Kiểm </w:t>
            </w:r>
            <w:r w:rsidRPr="00EB052D">
              <w:rPr>
                <w:rFonts w:ascii="Arial" w:hAnsi="Arial" w:cs="Arial"/>
                <w:sz w:val="20"/>
                <w:szCs w:val="26"/>
              </w:rPr>
              <w:lastRenderedPageBreak/>
              <w:t>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Không</w:t>
            </w:r>
          </w:p>
        </w:tc>
        <w:tc>
          <w:tcPr>
            <w:tcW w:w="1551" w:type="pct"/>
            <w:vAlign w:val="center"/>
          </w:tcPr>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lastRenderedPageBreak/>
              <w:t>17/6/2020;</w:t>
            </w:r>
            <w:r w:rsidR="0039159D" w:rsidRPr="00EB052D">
              <w:rPr>
                <w:rFonts w:ascii="Arial" w:hAnsi="Arial" w:cs="Arial"/>
                <w:sz w:val="20"/>
                <w:szCs w:val="26"/>
              </w:rPr>
              <w:t xml:space="preserve"> </w:t>
            </w:r>
          </w:p>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w:t>
            </w:r>
            <w:r w:rsidR="0039159D" w:rsidRPr="00EB052D">
              <w:rPr>
                <w:rFonts w:ascii="Arial" w:hAnsi="Arial" w:cs="Arial"/>
                <w:sz w:val="20"/>
                <w:szCs w:val="26"/>
              </w:rPr>
              <w:t xml:space="preserve"> </w:t>
            </w:r>
            <w:r w:rsidRPr="00EB052D">
              <w:rPr>
                <w:rFonts w:ascii="Arial" w:hAnsi="Arial" w:cs="Arial"/>
                <w:sz w:val="20"/>
                <w:szCs w:val="26"/>
              </w:rPr>
              <w:t>Việt Nam ra nước ngoài và xúc tiến đầu</w:t>
            </w:r>
            <w:r w:rsidR="0039159D" w:rsidRPr="00EB052D">
              <w:rPr>
                <w:rFonts w:ascii="Arial" w:hAnsi="Arial" w:cs="Arial"/>
                <w:sz w:val="20"/>
                <w:szCs w:val="26"/>
              </w:rPr>
              <w:t xml:space="preserve"> </w:t>
            </w:r>
            <w:r w:rsidRPr="00EB052D">
              <w:rPr>
                <w:rFonts w:ascii="Arial" w:hAnsi="Arial" w:cs="Arial"/>
                <w:sz w:val="20"/>
                <w:szCs w:val="26"/>
              </w:rPr>
              <w:t>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 xml:space="preserve">Trực tiếp </w:t>
            </w:r>
            <w:r w:rsidRPr="00EB052D">
              <w:rPr>
                <w:rFonts w:ascii="Arial" w:hAnsi="Arial" w:cs="Arial"/>
                <w:sz w:val="20"/>
                <w:szCs w:val="26"/>
              </w:rPr>
              <w:lastRenderedPageBreak/>
              <w:t>hoặc trực tuyến mức độ</w:t>
            </w:r>
            <w:r w:rsidR="0039159D" w:rsidRPr="00EB052D">
              <w:rPr>
                <w:rFonts w:ascii="Arial" w:hAnsi="Arial" w:cs="Arial"/>
                <w:sz w:val="20"/>
                <w:szCs w:val="26"/>
              </w:rPr>
              <w:t xml:space="preserve"> </w:t>
            </w:r>
            <w:r w:rsidRPr="00EB052D">
              <w:rPr>
                <w:rFonts w:ascii="Arial" w:hAnsi="Arial" w:cs="Arial"/>
                <w:sz w:val="20"/>
                <w:szCs w:val="26"/>
              </w:rPr>
              <w:t>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Trực tiếp</w:t>
            </w:r>
            <w:r w:rsidR="0039159D" w:rsidRPr="00EB052D">
              <w:rPr>
                <w:rFonts w:ascii="Arial" w:hAnsi="Arial" w:cs="Arial"/>
                <w:sz w:val="20"/>
                <w:szCs w:val="26"/>
              </w:rPr>
              <w:t xml:space="preserve"> </w:t>
            </w:r>
            <w:r w:rsidRPr="00EB052D">
              <w:rPr>
                <w:rFonts w:ascii="Arial" w:hAnsi="Arial" w:cs="Arial"/>
                <w:sz w:val="20"/>
                <w:szCs w:val="26"/>
              </w:rPr>
              <w:lastRenderedPageBreak/>
              <w:t>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20</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1.009775</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thực hiện hoạt động đầu tư theo hình thức góp vốn, mua cổ phần, mua phần vốn góp đối với nhà đầu tư nước ngoài (BQL)</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 hoạt động đầu tư tại Việt Nam, đầu tư từ</w:t>
            </w:r>
            <w:r w:rsidR="0039159D" w:rsidRPr="00EB052D">
              <w:rPr>
                <w:rFonts w:ascii="Arial" w:hAnsi="Arial" w:cs="Arial"/>
                <w:sz w:val="20"/>
                <w:szCs w:val="26"/>
              </w:rPr>
              <w:t xml:space="preserve"> </w:t>
            </w:r>
            <w:r w:rsidRPr="00EB052D">
              <w:rPr>
                <w:rFonts w:ascii="Arial" w:hAnsi="Arial" w:cs="Arial"/>
                <w:sz w:val="20"/>
                <w:szCs w:val="26"/>
              </w:rPr>
              <w:t>Việt Nam ra nước ngoài và xúc tiến đầu</w:t>
            </w:r>
            <w:r w:rsidR="0039159D" w:rsidRPr="00EB052D">
              <w:rPr>
                <w:rFonts w:ascii="Arial" w:hAnsi="Arial" w:cs="Arial"/>
                <w:sz w:val="20"/>
                <w:szCs w:val="26"/>
              </w:rPr>
              <w:t xml:space="preserve"> </w:t>
            </w:r>
            <w:r w:rsidRPr="00EB052D">
              <w:rPr>
                <w:rFonts w:ascii="Arial" w:hAnsi="Arial" w:cs="Arial"/>
                <w:sz w:val="20"/>
                <w:szCs w:val="26"/>
              </w:rPr>
              <w:t>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21</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1.009776</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thành lập</w:t>
            </w:r>
            <w:r w:rsidR="0039159D" w:rsidRPr="00EB052D">
              <w:rPr>
                <w:rFonts w:ascii="Arial" w:hAnsi="Arial" w:cs="Arial"/>
                <w:sz w:val="20"/>
                <w:szCs w:val="26"/>
              </w:rPr>
              <w:t xml:space="preserve"> </w:t>
            </w:r>
            <w:r w:rsidRPr="00EB052D">
              <w:rPr>
                <w:rFonts w:ascii="Arial" w:hAnsi="Arial" w:cs="Arial"/>
                <w:sz w:val="20"/>
                <w:szCs w:val="26"/>
              </w:rPr>
              <w:t>văn phòng điều hành của nhà đầu</w:t>
            </w:r>
            <w:r w:rsidR="0039159D" w:rsidRPr="00EB052D">
              <w:rPr>
                <w:rFonts w:ascii="Arial" w:hAnsi="Arial" w:cs="Arial"/>
                <w:sz w:val="20"/>
                <w:szCs w:val="26"/>
              </w:rPr>
              <w:t xml:space="preserve"> </w:t>
            </w:r>
            <w:r w:rsidRPr="00EB052D">
              <w:rPr>
                <w:rFonts w:ascii="Arial" w:hAnsi="Arial" w:cs="Arial"/>
                <w:sz w:val="20"/>
                <w:szCs w:val="26"/>
              </w:rPr>
              <w:t>tư nước ngoài trong hợp đồng BCC</w:t>
            </w:r>
            <w:r w:rsidR="0039159D" w:rsidRPr="00EB052D">
              <w:rPr>
                <w:rFonts w:ascii="Arial" w:hAnsi="Arial" w:cs="Arial"/>
                <w:sz w:val="20"/>
                <w:szCs w:val="26"/>
              </w:rPr>
              <w:t xml:space="preserve"> </w:t>
            </w:r>
            <w:r w:rsidRPr="00EB052D">
              <w:rPr>
                <w:rFonts w:ascii="Arial" w:hAnsi="Arial" w:cs="Arial"/>
                <w:sz w:val="20"/>
                <w:szCs w:val="26"/>
              </w:rPr>
              <w:t>(BQL)</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4F732E"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p>
          <w:p w:rsidR="004F732E" w:rsidRPr="00EB052D" w:rsidRDefault="004F732E"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 09/4/2021 của Bộ Kế hoạch và Đầu tư quy định mẫu văn bản, báo cáo liên quan đến hoạt động đầu tư tại Việt Nam, đầu tư từ 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 hoặc trực tuyến mức độ</w:t>
            </w:r>
            <w:r w:rsidR="004F732E" w:rsidRPr="00EB052D">
              <w:rPr>
                <w:rFonts w:ascii="Arial" w:hAnsi="Arial" w:cs="Arial"/>
                <w:sz w:val="20"/>
                <w:szCs w:val="26"/>
              </w:rPr>
              <w:t xml:space="preserve"> 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w:t>
            </w:r>
            <w:r w:rsidR="0039159D" w:rsidRPr="00EB052D">
              <w:rPr>
                <w:rFonts w:ascii="Arial" w:hAnsi="Arial" w:cs="Arial"/>
                <w:sz w:val="20"/>
                <w:szCs w:val="26"/>
              </w:rPr>
              <w:t xml:space="preserve"> </w:t>
            </w:r>
            <w:r w:rsidRPr="00EB052D">
              <w:rPr>
                <w:rFonts w:ascii="Arial" w:hAnsi="Arial" w:cs="Arial"/>
                <w:sz w:val="20"/>
                <w:szCs w:val="26"/>
              </w:rPr>
              <w:t>tiếp 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lastRenderedPageBreak/>
              <w:t>22</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1.009777</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Thủ tục chấm dứt hoạt động văn phòng điều hành</w:t>
            </w:r>
            <w:r w:rsidR="0039159D" w:rsidRPr="00EB052D">
              <w:rPr>
                <w:rFonts w:ascii="Arial" w:hAnsi="Arial" w:cs="Arial"/>
                <w:sz w:val="20"/>
                <w:szCs w:val="26"/>
              </w:rPr>
              <w:t xml:space="preserve"> </w:t>
            </w:r>
            <w:r w:rsidRPr="00EB052D">
              <w:rPr>
                <w:rFonts w:ascii="Arial" w:hAnsi="Arial" w:cs="Arial"/>
                <w:sz w:val="20"/>
                <w:szCs w:val="26"/>
              </w:rPr>
              <w:t>của nhà đầu tư nước ngoài trong hợp đồng BCC</w:t>
            </w:r>
            <w:r w:rsidR="0039159D" w:rsidRPr="00EB052D">
              <w:rPr>
                <w:rFonts w:ascii="Arial" w:hAnsi="Arial" w:cs="Arial"/>
                <w:sz w:val="20"/>
                <w:szCs w:val="26"/>
              </w:rPr>
              <w:t xml:space="preserve"> </w:t>
            </w:r>
            <w:r w:rsidRPr="00EB052D">
              <w:rPr>
                <w:rFonts w:ascii="Arial" w:hAnsi="Arial" w:cs="Arial"/>
                <w:sz w:val="20"/>
                <w:szCs w:val="26"/>
              </w:rPr>
              <w:t>(BQL)</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FA22AD"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Luật</w:t>
            </w:r>
            <w:r w:rsidR="00817D4F" w:rsidRPr="00EB052D">
              <w:rPr>
                <w:rFonts w:ascii="Arial" w:hAnsi="Arial" w:cs="Arial"/>
                <w:sz w:val="20"/>
                <w:szCs w:val="26"/>
              </w:rPr>
              <w:t xml:space="preserve"> </w:t>
            </w:r>
            <w:r w:rsidRPr="00EB052D">
              <w:rPr>
                <w:rFonts w:ascii="Arial" w:hAnsi="Arial" w:cs="Arial"/>
                <w:sz w:val="20"/>
                <w:szCs w:val="26"/>
              </w:rPr>
              <w:t>Đầu</w:t>
            </w:r>
            <w:r w:rsidR="00817D4F" w:rsidRPr="00EB052D">
              <w:rPr>
                <w:rFonts w:ascii="Arial" w:hAnsi="Arial" w:cs="Arial"/>
                <w:sz w:val="20"/>
                <w:szCs w:val="26"/>
              </w:rPr>
              <w:t xml:space="preserve"> </w:t>
            </w:r>
            <w:r w:rsidRPr="00EB052D">
              <w:rPr>
                <w:rFonts w:ascii="Arial" w:hAnsi="Arial" w:cs="Arial"/>
                <w:sz w:val="20"/>
                <w:szCs w:val="26"/>
              </w:rPr>
              <w:t>tư</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61/2020/QH14</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17/6/2020;</w:t>
            </w:r>
            <w:r w:rsidR="0039159D" w:rsidRPr="00EB052D">
              <w:rPr>
                <w:rFonts w:ascii="Arial" w:hAnsi="Arial" w:cs="Arial"/>
                <w:sz w:val="20"/>
                <w:szCs w:val="26"/>
              </w:rPr>
              <w:t xml:space="preserve"> </w:t>
            </w:r>
          </w:p>
          <w:p w:rsidR="00FA22AD" w:rsidRPr="00EB052D" w:rsidRDefault="00C32870" w:rsidP="00EB052D">
            <w:pPr>
              <w:widowControl w:val="0"/>
              <w:autoSpaceDE w:val="0"/>
              <w:autoSpaceDN w:val="0"/>
              <w:adjustRightInd w:val="0"/>
              <w:spacing w:before="120"/>
              <w:rPr>
                <w:rFonts w:ascii="Arial" w:hAnsi="Arial" w:cs="Arial"/>
                <w:sz w:val="20"/>
                <w:szCs w:val="26"/>
              </w:rPr>
            </w:pPr>
            <w:r w:rsidRPr="00EB052D">
              <w:rPr>
                <w:rFonts w:ascii="Arial" w:hAnsi="Arial" w:cs="Arial"/>
                <w:sz w:val="20"/>
                <w:szCs w:val="26"/>
              </w:rPr>
              <w:t>-</w:t>
            </w:r>
            <w:r w:rsidR="00817D4F" w:rsidRPr="00EB052D">
              <w:rPr>
                <w:rFonts w:ascii="Arial" w:hAnsi="Arial" w:cs="Arial"/>
                <w:sz w:val="20"/>
                <w:szCs w:val="26"/>
              </w:rPr>
              <w:t xml:space="preserve"> </w:t>
            </w:r>
            <w:r w:rsidRPr="00EB052D">
              <w:rPr>
                <w:rFonts w:ascii="Arial" w:hAnsi="Arial" w:cs="Arial"/>
                <w:sz w:val="20"/>
                <w:szCs w:val="26"/>
              </w:rPr>
              <w:t>Nghị</w:t>
            </w:r>
            <w:r w:rsidR="00817D4F" w:rsidRPr="00EB052D">
              <w:rPr>
                <w:rFonts w:ascii="Arial" w:hAnsi="Arial" w:cs="Arial"/>
                <w:sz w:val="20"/>
                <w:szCs w:val="26"/>
              </w:rPr>
              <w:t xml:space="preserve"> </w:t>
            </w:r>
            <w:r w:rsidRPr="00EB052D">
              <w:rPr>
                <w:rFonts w:ascii="Arial" w:hAnsi="Arial" w:cs="Arial"/>
                <w:sz w:val="20"/>
                <w:szCs w:val="26"/>
              </w:rPr>
              <w:t>định</w:t>
            </w:r>
            <w:r w:rsidR="00817D4F" w:rsidRPr="00EB052D">
              <w:rPr>
                <w:rFonts w:ascii="Arial" w:hAnsi="Arial" w:cs="Arial"/>
                <w:sz w:val="20"/>
                <w:szCs w:val="26"/>
              </w:rPr>
              <w:t xml:space="preserve"> </w:t>
            </w:r>
            <w:r w:rsidRPr="00EB052D">
              <w:rPr>
                <w:rFonts w:ascii="Arial" w:hAnsi="Arial" w:cs="Arial"/>
                <w:sz w:val="20"/>
                <w:szCs w:val="26"/>
              </w:rPr>
              <w:t>số</w:t>
            </w:r>
            <w:r w:rsidR="00817D4F" w:rsidRPr="00EB052D">
              <w:rPr>
                <w:rFonts w:ascii="Arial" w:hAnsi="Arial" w:cs="Arial"/>
                <w:sz w:val="20"/>
                <w:szCs w:val="26"/>
              </w:rPr>
              <w:t xml:space="preserve"> </w:t>
            </w:r>
            <w:r w:rsidRPr="00EB052D">
              <w:rPr>
                <w:rFonts w:ascii="Arial" w:hAnsi="Arial" w:cs="Arial"/>
                <w:sz w:val="20"/>
                <w:szCs w:val="26"/>
              </w:rPr>
              <w:t>31/2021/NĐ-CP</w:t>
            </w:r>
            <w:r w:rsidR="00817D4F" w:rsidRPr="00EB052D">
              <w:rPr>
                <w:rFonts w:ascii="Arial" w:hAnsi="Arial" w:cs="Arial"/>
                <w:sz w:val="20"/>
                <w:szCs w:val="26"/>
              </w:rPr>
              <w:t xml:space="preserve"> </w:t>
            </w:r>
            <w:r w:rsidRPr="00EB052D">
              <w:rPr>
                <w:rFonts w:ascii="Arial" w:hAnsi="Arial" w:cs="Arial"/>
                <w:sz w:val="20"/>
                <w:szCs w:val="26"/>
              </w:rPr>
              <w:t>ngày</w:t>
            </w:r>
            <w:r w:rsidR="0039159D" w:rsidRPr="00EB052D">
              <w:rPr>
                <w:rFonts w:ascii="Arial" w:hAnsi="Arial" w:cs="Arial"/>
                <w:sz w:val="20"/>
                <w:szCs w:val="26"/>
              </w:rPr>
              <w:t xml:space="preserve"> </w:t>
            </w:r>
            <w:r w:rsidRPr="00EB052D">
              <w:rPr>
                <w:rFonts w:ascii="Arial" w:hAnsi="Arial" w:cs="Arial"/>
                <w:sz w:val="20"/>
                <w:szCs w:val="26"/>
              </w:rPr>
              <w:t>26/3/2021 của Chính phủ quy định chi tiết và hướng dẫn thi hành một số điều của</w:t>
            </w:r>
            <w:r w:rsidR="0039159D" w:rsidRPr="00EB052D">
              <w:rPr>
                <w:rFonts w:ascii="Arial" w:hAnsi="Arial" w:cs="Arial"/>
                <w:sz w:val="20"/>
                <w:szCs w:val="26"/>
              </w:rPr>
              <w:t xml:space="preserve"> </w:t>
            </w:r>
            <w:r w:rsidRPr="00EB052D">
              <w:rPr>
                <w:rFonts w:ascii="Arial" w:hAnsi="Arial" w:cs="Arial"/>
                <w:sz w:val="20"/>
                <w:szCs w:val="26"/>
              </w:rPr>
              <w:t>Luật Đầu tư.</w:t>
            </w:r>
            <w:r w:rsidR="0039159D" w:rsidRPr="00EB052D">
              <w:rPr>
                <w:rFonts w:ascii="Arial" w:hAnsi="Arial" w:cs="Arial"/>
                <w:sz w:val="20"/>
                <w:szCs w:val="26"/>
              </w:rPr>
              <w:t xml:space="preserve"> </w:t>
            </w:r>
          </w:p>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 Thông tư số 03/2021/TT-BKHĐT ngày</w:t>
            </w:r>
            <w:r w:rsidR="0039159D" w:rsidRPr="00EB052D">
              <w:rPr>
                <w:rFonts w:ascii="Arial" w:hAnsi="Arial" w:cs="Arial"/>
                <w:sz w:val="20"/>
                <w:szCs w:val="26"/>
              </w:rPr>
              <w:t xml:space="preserve"> </w:t>
            </w:r>
            <w:r w:rsidRPr="00EB052D">
              <w:rPr>
                <w:rFonts w:ascii="Arial" w:hAnsi="Arial" w:cs="Arial"/>
                <w:sz w:val="20"/>
                <w:szCs w:val="26"/>
              </w:rPr>
              <w:t>09/4/2021 của Bộ Kế hoạch và Đầu tư quy định mẫu văn bản, báo cáo liên quan đến</w:t>
            </w:r>
            <w:r w:rsidR="0039159D" w:rsidRPr="00EB052D">
              <w:rPr>
                <w:rFonts w:ascii="Arial" w:hAnsi="Arial" w:cs="Arial"/>
                <w:sz w:val="20"/>
                <w:szCs w:val="26"/>
              </w:rPr>
              <w:t xml:space="preserve"> </w:t>
            </w:r>
            <w:r w:rsidRPr="00EB052D">
              <w:rPr>
                <w:rFonts w:ascii="Arial" w:hAnsi="Arial" w:cs="Arial"/>
                <w:sz w:val="20"/>
                <w:szCs w:val="26"/>
              </w:rPr>
              <w:t>hoạt động đầu tư tại Việt Nam, đầu tư từ</w:t>
            </w:r>
            <w:r w:rsidR="0039159D" w:rsidRPr="00EB052D">
              <w:rPr>
                <w:rFonts w:ascii="Arial" w:hAnsi="Arial" w:cs="Arial"/>
                <w:sz w:val="20"/>
                <w:szCs w:val="26"/>
              </w:rPr>
              <w:t xml:space="preserve"> </w:t>
            </w:r>
            <w:r w:rsidRPr="00EB052D">
              <w:rPr>
                <w:rFonts w:ascii="Arial" w:hAnsi="Arial" w:cs="Arial"/>
                <w:sz w:val="20"/>
                <w:szCs w:val="26"/>
              </w:rPr>
              <w:t>Việt Nam ra nước ngoài và xúc tiến đầu tư.</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trực tuyến mức độ</w:t>
            </w:r>
            <w:r w:rsidR="0039159D" w:rsidRPr="00EB052D">
              <w:rPr>
                <w:rFonts w:ascii="Arial" w:hAnsi="Arial" w:cs="Arial"/>
                <w:sz w:val="20"/>
                <w:szCs w:val="26"/>
              </w:rPr>
              <w:t xml:space="preserve"> </w:t>
            </w:r>
            <w:r w:rsidRPr="00EB052D">
              <w:rPr>
                <w:rFonts w:ascii="Arial" w:hAnsi="Arial" w:cs="Arial"/>
                <w:sz w:val="20"/>
                <w:szCs w:val="26"/>
              </w:rPr>
              <w:t>4 Hoặc qua BCCI</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 hoặc qua BCCI</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b/>
                <w:bCs/>
                <w:sz w:val="20"/>
                <w:szCs w:val="28"/>
              </w:rPr>
              <w:t>II.</w:t>
            </w:r>
          </w:p>
        </w:tc>
        <w:tc>
          <w:tcPr>
            <w:tcW w:w="4800" w:type="pct"/>
            <w:gridSpan w:val="8"/>
            <w:vAlign w:val="center"/>
          </w:tcPr>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b/>
                <w:bCs/>
                <w:sz w:val="20"/>
                <w:szCs w:val="28"/>
              </w:rPr>
              <w:t>LĨNH VỰC QUẢN LÝ CÔNG SẢN</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23</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3.000019</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Khấu trừ tiền bồi</w:t>
            </w:r>
            <w:r w:rsidR="0039159D" w:rsidRPr="00EB052D">
              <w:rPr>
                <w:rFonts w:ascii="Arial" w:hAnsi="Arial" w:cs="Arial"/>
                <w:sz w:val="20"/>
                <w:szCs w:val="26"/>
              </w:rPr>
              <w:t xml:space="preserve"> </w:t>
            </w:r>
            <w:r w:rsidRPr="00EB052D">
              <w:rPr>
                <w:rFonts w:ascii="Arial" w:hAnsi="Arial" w:cs="Arial"/>
                <w:sz w:val="20"/>
                <w:szCs w:val="26"/>
              </w:rPr>
              <w:t>thường, giải phóng mặt bằng vào tiền</w:t>
            </w:r>
            <w:r w:rsidR="0039159D" w:rsidRPr="00EB052D">
              <w:rPr>
                <w:rFonts w:ascii="Arial" w:hAnsi="Arial" w:cs="Arial"/>
                <w:sz w:val="20"/>
                <w:szCs w:val="26"/>
              </w:rPr>
              <w:t xml:space="preserve"> </w:t>
            </w:r>
            <w:r w:rsidRPr="00EB052D">
              <w:rPr>
                <w:rFonts w:ascii="Arial" w:hAnsi="Arial" w:cs="Arial"/>
                <w:sz w:val="20"/>
                <w:szCs w:val="26"/>
              </w:rPr>
              <w:t>sử dụng đất, tiền</w:t>
            </w:r>
            <w:r w:rsidR="0039159D" w:rsidRPr="00EB052D">
              <w:rPr>
                <w:rFonts w:ascii="Arial" w:hAnsi="Arial" w:cs="Arial"/>
                <w:sz w:val="20"/>
                <w:szCs w:val="26"/>
              </w:rPr>
              <w:t xml:space="preserve"> </w:t>
            </w:r>
            <w:r w:rsidRPr="00EB052D">
              <w:rPr>
                <w:rFonts w:ascii="Arial" w:hAnsi="Arial" w:cs="Arial"/>
                <w:sz w:val="20"/>
                <w:szCs w:val="26"/>
              </w:rPr>
              <w:t>thuê đất trong Khu kinh tế</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w:t>
            </w:r>
            <w:r w:rsidR="0039159D" w:rsidRPr="00EB052D">
              <w:rPr>
                <w:rFonts w:ascii="Arial" w:hAnsi="Arial" w:cs="Arial"/>
                <w:sz w:val="20"/>
                <w:szCs w:val="26"/>
              </w:rPr>
              <w:t xml:space="preserve"> </w:t>
            </w:r>
            <w:r w:rsidRPr="00EB052D">
              <w:rPr>
                <w:rFonts w:ascii="Arial" w:hAnsi="Arial" w:cs="Arial"/>
                <w:sz w:val="20"/>
                <w:szCs w:val="26"/>
              </w:rPr>
              <w:t>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Nghị định số 35/2017/NĐ-CP ngày</w:t>
            </w:r>
            <w:r w:rsidR="0039159D" w:rsidRPr="00EB052D">
              <w:rPr>
                <w:rFonts w:ascii="Arial" w:hAnsi="Arial" w:cs="Arial"/>
                <w:sz w:val="20"/>
                <w:szCs w:val="26"/>
              </w:rPr>
              <w:t xml:space="preserve"> </w:t>
            </w:r>
            <w:r w:rsidRPr="00EB052D">
              <w:rPr>
                <w:rFonts w:ascii="Arial" w:hAnsi="Arial" w:cs="Arial"/>
                <w:sz w:val="20"/>
                <w:szCs w:val="26"/>
              </w:rPr>
              <w:t>03/4/2017 của Chính Phủ quy định về thu tiền sử dụng đất, thu tiền thuê đất, thuê mặt nước trong khu kinh tế, khu công nghệ cao</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24</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1.005413</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Miễn tiền sử dụng</w:t>
            </w:r>
            <w:r w:rsidR="0039159D" w:rsidRPr="00EB052D">
              <w:rPr>
                <w:rFonts w:ascii="Arial" w:hAnsi="Arial" w:cs="Arial"/>
                <w:sz w:val="20"/>
                <w:szCs w:val="26"/>
              </w:rPr>
              <w:t xml:space="preserve"> </w:t>
            </w:r>
            <w:r w:rsidRPr="00EB052D">
              <w:rPr>
                <w:rFonts w:ascii="Arial" w:hAnsi="Arial" w:cs="Arial"/>
                <w:sz w:val="20"/>
                <w:szCs w:val="26"/>
              </w:rPr>
              <w:t>đất đối với dự án được Nhà nước giao đất có thu tiền sử dụng đất trong</w:t>
            </w:r>
            <w:r w:rsidR="0039159D" w:rsidRPr="00EB052D">
              <w:rPr>
                <w:rFonts w:ascii="Arial" w:hAnsi="Arial" w:cs="Arial"/>
                <w:sz w:val="20"/>
                <w:szCs w:val="26"/>
              </w:rPr>
              <w:t xml:space="preserve"> </w:t>
            </w:r>
            <w:r w:rsidRPr="00EB052D">
              <w:rPr>
                <w:rFonts w:ascii="Arial" w:hAnsi="Arial" w:cs="Arial"/>
                <w:sz w:val="20"/>
                <w:szCs w:val="26"/>
              </w:rPr>
              <w:t>Khu kinh tế để đầu</w:t>
            </w:r>
            <w:r w:rsidR="0039159D" w:rsidRPr="00EB052D">
              <w:rPr>
                <w:rFonts w:ascii="Arial" w:hAnsi="Arial" w:cs="Arial"/>
                <w:sz w:val="20"/>
                <w:szCs w:val="26"/>
              </w:rPr>
              <w:t xml:space="preserve"> </w:t>
            </w:r>
            <w:r w:rsidRPr="00EB052D">
              <w:rPr>
                <w:rFonts w:ascii="Arial" w:hAnsi="Arial" w:cs="Arial"/>
                <w:sz w:val="20"/>
                <w:szCs w:val="26"/>
              </w:rPr>
              <w:t>tư xây dựng nhà ở xã hội phục vụ đời sống cho người lao động</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 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Nghị định số 35/2017/NĐ-CP ngày</w:t>
            </w:r>
            <w:r w:rsidR="0039159D" w:rsidRPr="00EB052D">
              <w:rPr>
                <w:rFonts w:ascii="Arial" w:hAnsi="Arial" w:cs="Arial"/>
                <w:sz w:val="20"/>
                <w:szCs w:val="26"/>
              </w:rPr>
              <w:t xml:space="preserve"> </w:t>
            </w:r>
            <w:r w:rsidRPr="00EB052D">
              <w:rPr>
                <w:rFonts w:ascii="Arial" w:hAnsi="Arial" w:cs="Arial"/>
                <w:sz w:val="20"/>
                <w:szCs w:val="26"/>
              </w:rPr>
              <w:t>03/4/2017 của Chính Phủ quy định về thu tiền sử dụng đất, thu tiền thuê đất, thuê</w:t>
            </w:r>
            <w:r w:rsidR="0039159D" w:rsidRPr="00EB052D">
              <w:rPr>
                <w:rFonts w:ascii="Arial" w:hAnsi="Arial" w:cs="Arial"/>
                <w:sz w:val="20"/>
                <w:szCs w:val="26"/>
              </w:rPr>
              <w:t xml:space="preserve"> </w:t>
            </w:r>
            <w:r w:rsidRPr="00EB052D">
              <w:rPr>
                <w:rFonts w:ascii="Arial" w:hAnsi="Arial" w:cs="Arial"/>
                <w:sz w:val="20"/>
                <w:szCs w:val="26"/>
              </w:rPr>
              <w:t>mặt nước trong khu kinh tế, khu công</w:t>
            </w:r>
            <w:r w:rsidR="0039159D" w:rsidRPr="00EB052D">
              <w:rPr>
                <w:rFonts w:ascii="Arial" w:hAnsi="Arial" w:cs="Arial"/>
                <w:sz w:val="20"/>
                <w:szCs w:val="26"/>
              </w:rPr>
              <w:t xml:space="preserve"> </w:t>
            </w:r>
            <w:r w:rsidRPr="00EB052D">
              <w:rPr>
                <w:rFonts w:ascii="Arial" w:hAnsi="Arial" w:cs="Arial"/>
                <w:sz w:val="20"/>
                <w:szCs w:val="26"/>
              </w:rPr>
              <w:t>nghệ cao</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p>
        </w:tc>
      </w:tr>
      <w:tr w:rsidR="00C32870" w:rsidRPr="00EB052D">
        <w:tblPrEx>
          <w:tblCellMar>
            <w:top w:w="0" w:type="dxa"/>
            <w:left w:w="0" w:type="dxa"/>
            <w:bottom w:w="0" w:type="dxa"/>
            <w:right w:w="0" w:type="dxa"/>
          </w:tblCellMar>
        </w:tblPrEx>
        <w:tc>
          <w:tcPr>
            <w:tcW w:w="20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25</w:t>
            </w:r>
          </w:p>
        </w:tc>
        <w:tc>
          <w:tcPr>
            <w:tcW w:w="419"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3.000020</w:t>
            </w:r>
          </w:p>
        </w:tc>
        <w:tc>
          <w:tcPr>
            <w:tcW w:w="75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Miễn, giảm tiền thuê đất trong Khu kinh tế</w:t>
            </w:r>
          </w:p>
        </w:tc>
        <w:tc>
          <w:tcPr>
            <w:tcW w:w="33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15</w:t>
            </w:r>
            <w:r w:rsidR="0039159D" w:rsidRPr="00EB052D">
              <w:rPr>
                <w:rFonts w:ascii="Arial" w:hAnsi="Arial" w:cs="Arial"/>
                <w:sz w:val="20"/>
                <w:szCs w:val="26"/>
              </w:rPr>
              <w:t xml:space="preserve"> </w:t>
            </w:r>
            <w:r w:rsidRPr="00EB052D">
              <w:rPr>
                <w:rFonts w:ascii="Arial" w:hAnsi="Arial" w:cs="Arial"/>
                <w:sz w:val="20"/>
                <w:szCs w:val="26"/>
              </w:rPr>
              <w:t>ngày</w:t>
            </w:r>
          </w:p>
        </w:tc>
        <w:tc>
          <w:tcPr>
            <w:tcW w:w="670"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Trung tâm Kiểm soát thủ tục hành chính và Phục vụ hành chính công</w:t>
            </w:r>
          </w:p>
        </w:tc>
        <w:tc>
          <w:tcPr>
            <w:tcW w:w="405"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Không</w:t>
            </w:r>
          </w:p>
        </w:tc>
        <w:tc>
          <w:tcPr>
            <w:tcW w:w="1551" w:type="pct"/>
            <w:vAlign w:val="center"/>
          </w:tcPr>
          <w:p w:rsidR="00C32870" w:rsidRPr="00EB052D" w:rsidRDefault="00C32870" w:rsidP="00EB052D">
            <w:pPr>
              <w:widowControl w:val="0"/>
              <w:autoSpaceDE w:val="0"/>
              <w:autoSpaceDN w:val="0"/>
              <w:adjustRightInd w:val="0"/>
              <w:spacing w:before="120"/>
              <w:rPr>
                <w:rFonts w:ascii="Arial" w:hAnsi="Arial" w:cs="Arial"/>
                <w:sz w:val="20"/>
              </w:rPr>
            </w:pPr>
            <w:r w:rsidRPr="00EB052D">
              <w:rPr>
                <w:rFonts w:ascii="Arial" w:hAnsi="Arial" w:cs="Arial"/>
                <w:sz w:val="20"/>
                <w:szCs w:val="26"/>
              </w:rPr>
              <w:t>Nghị định số 35/2017/NĐ-CP ngày</w:t>
            </w:r>
            <w:r w:rsidR="0039159D" w:rsidRPr="00EB052D">
              <w:rPr>
                <w:rFonts w:ascii="Arial" w:hAnsi="Arial" w:cs="Arial"/>
                <w:sz w:val="20"/>
                <w:szCs w:val="26"/>
              </w:rPr>
              <w:t xml:space="preserve"> </w:t>
            </w:r>
            <w:r w:rsidRPr="00EB052D">
              <w:rPr>
                <w:rFonts w:ascii="Arial" w:hAnsi="Arial" w:cs="Arial"/>
                <w:sz w:val="20"/>
                <w:szCs w:val="26"/>
              </w:rPr>
              <w:t>03/4/2017 của Chính Phủ quy định về thu tiền sử dụng đất, thu tiền thuê đất, thuê mặt nước trong khu kinh tế, khu công nghệ cao</w:t>
            </w:r>
          </w:p>
        </w:tc>
        <w:tc>
          <w:tcPr>
            <w:tcW w:w="343"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p>
        </w:tc>
        <w:tc>
          <w:tcPr>
            <w:tcW w:w="324" w:type="pct"/>
            <w:vAlign w:val="center"/>
          </w:tcPr>
          <w:p w:rsidR="00C32870" w:rsidRPr="00EB052D" w:rsidRDefault="00C32870" w:rsidP="00EB052D">
            <w:pPr>
              <w:widowControl w:val="0"/>
              <w:autoSpaceDE w:val="0"/>
              <w:autoSpaceDN w:val="0"/>
              <w:adjustRightInd w:val="0"/>
              <w:spacing w:before="120"/>
              <w:jc w:val="center"/>
              <w:rPr>
                <w:rFonts w:ascii="Arial" w:hAnsi="Arial" w:cs="Arial"/>
                <w:sz w:val="20"/>
              </w:rPr>
            </w:pPr>
            <w:r w:rsidRPr="00EB052D">
              <w:rPr>
                <w:rFonts w:ascii="Arial" w:hAnsi="Arial" w:cs="Arial"/>
                <w:sz w:val="20"/>
                <w:szCs w:val="26"/>
              </w:rPr>
              <w:t>Trực tiếp</w:t>
            </w:r>
          </w:p>
        </w:tc>
      </w:tr>
    </w:tbl>
    <w:p w:rsidR="006A25CD" w:rsidRPr="00EB052D" w:rsidRDefault="006A25CD" w:rsidP="00EB052D">
      <w:pPr>
        <w:spacing w:before="120"/>
        <w:rPr>
          <w:rFonts w:ascii="Arial" w:hAnsi="Arial" w:cs="Arial"/>
          <w:b/>
          <w:sz w:val="20"/>
          <w:szCs w:val="20"/>
        </w:rPr>
      </w:pPr>
      <w:bookmarkStart w:id="0" w:name="_GoBack"/>
      <w:bookmarkEnd w:id="0"/>
    </w:p>
    <w:p w:rsidR="00FB7A6A" w:rsidRPr="00EB052D" w:rsidRDefault="00FB7A6A" w:rsidP="00EB052D">
      <w:pPr>
        <w:spacing w:before="120"/>
        <w:rPr>
          <w:rFonts w:ascii="Arial" w:hAnsi="Arial" w:cs="Arial"/>
          <w:b/>
          <w:sz w:val="20"/>
          <w:szCs w:val="20"/>
        </w:rPr>
      </w:pPr>
    </w:p>
    <w:sectPr w:rsidR="00FB7A6A" w:rsidRPr="00EB052D" w:rsidSect="00F16DF2">
      <w:pgSz w:w="15840" w:h="12240" w:orient="landscape"/>
      <w:pgMar w:top="1800" w:right="1440" w:bottom="1800" w:left="144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70"/>
    <w:rsid w:val="000618D6"/>
    <w:rsid w:val="00125641"/>
    <w:rsid w:val="0039159D"/>
    <w:rsid w:val="004F732E"/>
    <w:rsid w:val="00621593"/>
    <w:rsid w:val="006A25CD"/>
    <w:rsid w:val="00817D4F"/>
    <w:rsid w:val="00861772"/>
    <w:rsid w:val="00C32870"/>
    <w:rsid w:val="00C40D0B"/>
    <w:rsid w:val="00CA6DAA"/>
    <w:rsid w:val="00D76734"/>
    <w:rsid w:val="00E51A41"/>
    <w:rsid w:val="00EB052D"/>
    <w:rsid w:val="00F16DF2"/>
    <w:rsid w:val="00FA22AD"/>
    <w:rsid w:val="00FB7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40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C40D0B"/>
    <w:pPr>
      <w:tabs>
        <w:tab w:val="left" w:pos="1152"/>
      </w:tabs>
      <w:spacing w:before="120" w:after="120" w:line="312" w:lineRule="auto"/>
    </w:pPr>
    <w:rPr>
      <w:rFonts w:ascii="Arial" w:hAnsi="Arial" w:cs="Arial"/>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C40D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link w:val="DefaultParagraphFont"/>
    <w:autoRedefine/>
    <w:rsid w:val="00C40D0B"/>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1-QD CONG BO TTHC.pdf</vt:lpstr>
    </vt:vector>
  </TitlesOfParts>
  <Company>HOME</Company>
  <LinksUpToDate>false</LinksUpToDate>
  <CharactersWithSpaces>19952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1-QD CONG BO TTHC.pdf</dc:title>
  <dc:creator>DELL</dc:creator>
  <dc:description>Document was created by {applicationname}, version: {version}</dc:description>
  <cp:lastModifiedBy>ADMIN</cp:lastModifiedBy>
  <cp:revision>2</cp:revision>
  <dcterms:created xsi:type="dcterms:W3CDTF">2022-10-24T04:55:00Z</dcterms:created>
  <dcterms:modified xsi:type="dcterms:W3CDTF">2022-10-24T04:55:00Z</dcterms:modified>
</cp:coreProperties>
</file>