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D242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8E8BBA" w14:textId="77777777" w:rsidR="00000000" w:rsidRDefault="001F5273">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930275" w14:textId="77777777" w:rsidR="00000000" w:rsidRDefault="001F527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D594E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5E9693" w14:textId="77777777" w:rsidR="00000000" w:rsidRDefault="001F5273">
            <w:pPr>
              <w:spacing w:before="120"/>
              <w:jc w:val="center"/>
            </w:pPr>
            <w:r>
              <w:rPr>
                <w:lang w:val="vi-VN"/>
              </w:rPr>
              <w:t xml:space="preserve">Số: </w:t>
            </w:r>
            <w:r>
              <w:t>72/2017/NĐ-CP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C377BE" w14:textId="77777777" w:rsidR="00000000" w:rsidRDefault="001F5273">
            <w:pPr>
              <w:spacing w:before="120"/>
              <w:jc w:val="right"/>
            </w:pPr>
            <w:r>
              <w:rPr>
                <w:i/>
                <w:iCs/>
              </w:rPr>
              <w:t>Hà Nội</w:t>
            </w:r>
            <w:r>
              <w:rPr>
                <w:i/>
                <w:iCs/>
                <w:lang w:val="vi-VN"/>
              </w:rPr>
              <w:t xml:space="preserve">, ngày </w:t>
            </w:r>
            <w:r>
              <w:rPr>
                <w:i/>
                <w:iCs/>
              </w:rPr>
              <w:t>13</w:t>
            </w:r>
            <w:r>
              <w:rPr>
                <w:i/>
                <w:iCs/>
                <w:lang w:val="vi-VN"/>
              </w:rPr>
              <w:t xml:space="preserve"> tháng </w:t>
            </w:r>
            <w:r>
              <w:rPr>
                <w:i/>
                <w:iCs/>
              </w:rPr>
              <w:t>06</w:t>
            </w:r>
            <w:r>
              <w:rPr>
                <w:i/>
                <w:iCs/>
                <w:lang w:val="vi-VN"/>
              </w:rPr>
              <w:t xml:space="preserve"> năm 20</w:t>
            </w:r>
            <w:r>
              <w:rPr>
                <w:i/>
                <w:iCs/>
              </w:rPr>
              <w:t>17</w:t>
            </w:r>
          </w:p>
        </w:tc>
      </w:tr>
    </w:tbl>
    <w:p w14:paraId="0ABE5CCE" w14:textId="77777777" w:rsidR="00000000" w:rsidRDefault="001F5273">
      <w:pPr>
        <w:spacing w:before="120" w:after="280" w:afterAutospacing="1"/>
      </w:pPr>
      <w:r>
        <w:t> </w:t>
      </w:r>
    </w:p>
    <w:p w14:paraId="43FAFA1E" w14:textId="77777777" w:rsidR="00000000" w:rsidRDefault="001F5273">
      <w:pPr>
        <w:spacing w:before="120" w:after="280" w:afterAutospacing="1"/>
        <w:jc w:val="center"/>
      </w:pPr>
      <w:bookmarkStart w:id="1" w:name="loai_1"/>
      <w:r>
        <w:rPr>
          <w:b/>
          <w:bCs/>
          <w:lang w:val="vi-VN"/>
        </w:rPr>
        <w:t>NGHỊ ĐỊNH</w:t>
      </w:r>
      <w:bookmarkEnd w:id="1"/>
    </w:p>
    <w:p w14:paraId="0E5A1BFB" w14:textId="77777777" w:rsidR="00000000" w:rsidRDefault="001F5273">
      <w:pPr>
        <w:spacing w:before="120" w:after="280" w:afterAutospacing="1"/>
        <w:jc w:val="center"/>
      </w:pPr>
      <w:bookmarkStart w:id="2" w:name="loai_1_name"/>
      <w:r>
        <w:rPr>
          <w:lang w:val="vi-VN"/>
        </w:rPr>
        <w:t>QUY ĐỊNH VỀ NỘI DUNG CHI HOẠT ĐỘNG CỦA HỘI ĐỒNG QUẢN LÝ BẢO HIỂM XÃ HỘI VIỆT NAM</w:t>
      </w:r>
      <w:bookmarkEnd w:id="2"/>
    </w:p>
    <w:p w14:paraId="31F01FCF" w14:textId="77777777" w:rsidR="00000000" w:rsidRDefault="001F5273">
      <w:pPr>
        <w:spacing w:before="120" w:after="280" w:afterAutospacing="1"/>
      </w:pPr>
      <w:r>
        <w:rPr>
          <w:i/>
          <w:iCs/>
          <w:lang w:val="vi-VN"/>
        </w:rPr>
        <w:t>Căn cứ Luật</w:t>
      </w:r>
      <w:r>
        <w:rPr>
          <w:i/>
          <w:iCs/>
          <w:lang w:val="vi-VN"/>
        </w:rPr>
        <w:t xml:space="preserve"> tổ chức Chính phủ ngày 19 tháng 6 năm 2015;</w:t>
      </w:r>
    </w:p>
    <w:p w14:paraId="640127CE" w14:textId="77777777" w:rsidR="00000000" w:rsidRDefault="001F5273">
      <w:pPr>
        <w:spacing w:before="120" w:after="280" w:afterAutospacing="1"/>
      </w:pPr>
      <w:r>
        <w:rPr>
          <w:i/>
          <w:iCs/>
          <w:lang w:val="vi-VN"/>
        </w:rPr>
        <w:t xml:space="preserve">Căn cứ Luật bảo hiểm xã hội ngày 20 tháng </w:t>
      </w:r>
      <w:r>
        <w:rPr>
          <w:i/>
          <w:iCs/>
        </w:rPr>
        <w:t>11</w:t>
      </w:r>
      <w:r>
        <w:rPr>
          <w:i/>
          <w:iCs/>
          <w:lang w:val="vi-VN"/>
        </w:rPr>
        <w:t xml:space="preserve"> năm 2014;</w:t>
      </w:r>
    </w:p>
    <w:p w14:paraId="1B610159" w14:textId="77777777" w:rsidR="00000000" w:rsidRDefault="001F5273">
      <w:pPr>
        <w:spacing w:before="120" w:after="280" w:afterAutospacing="1"/>
      </w:pPr>
      <w:r>
        <w:rPr>
          <w:i/>
          <w:iCs/>
          <w:lang w:val="vi-VN"/>
        </w:rPr>
        <w:t>Căn cứ Luật việc làm ngày 16 tháng 11 năm 2013;</w:t>
      </w:r>
    </w:p>
    <w:p w14:paraId="737D824E" w14:textId="77777777" w:rsidR="00000000" w:rsidRDefault="001F5273">
      <w:pPr>
        <w:spacing w:before="120" w:after="280" w:afterAutospacing="1"/>
      </w:pPr>
      <w:r>
        <w:rPr>
          <w:i/>
          <w:iCs/>
          <w:lang w:val="vi-VN"/>
        </w:rPr>
        <w:t>Căn cứ Luật bảo h</w:t>
      </w:r>
      <w:r>
        <w:rPr>
          <w:i/>
          <w:iCs/>
        </w:rPr>
        <w:t>i</w:t>
      </w:r>
      <w:r>
        <w:rPr>
          <w:i/>
          <w:iCs/>
          <w:lang w:val="vi-VN"/>
        </w:rPr>
        <w:t>ểm y tế ngày 14 tháng 11 năm 2008 và Luật sửa đổi, bổ sung một số điều của Luật bảo hiểm y</w:t>
      </w:r>
      <w:r>
        <w:rPr>
          <w:i/>
          <w:iCs/>
          <w:lang w:val="vi-VN"/>
        </w:rPr>
        <w:t xml:space="preserve"> tế ngày 13 tháng 6 năm 2014;</w:t>
      </w:r>
    </w:p>
    <w:p w14:paraId="30FCD569" w14:textId="77777777" w:rsidR="00000000" w:rsidRDefault="001F5273">
      <w:pPr>
        <w:spacing w:before="120" w:after="280" w:afterAutospacing="1"/>
      </w:pPr>
      <w:r>
        <w:rPr>
          <w:i/>
          <w:iCs/>
          <w:lang w:val="vi-VN"/>
        </w:rPr>
        <w:t>Theo đề nghị của Bộ trưởng Bộ Tài chính;</w:t>
      </w:r>
    </w:p>
    <w:p w14:paraId="6E93E659" w14:textId="77777777" w:rsidR="00000000" w:rsidRDefault="001F5273">
      <w:pPr>
        <w:spacing w:before="120" w:after="280" w:afterAutospacing="1"/>
      </w:pPr>
      <w:r>
        <w:rPr>
          <w:i/>
          <w:iCs/>
          <w:lang w:val="vi-VN"/>
        </w:rPr>
        <w:t>Chính phủ ban hành Nghị định quy định về nội dung chi hoạt động của Hội đồng quản lý Bảo hiểm xã hội Việt Nam.</w:t>
      </w:r>
    </w:p>
    <w:p w14:paraId="3AF8CFEE" w14:textId="77777777" w:rsidR="00000000" w:rsidRDefault="001F5273">
      <w:pPr>
        <w:spacing w:before="120" w:after="280" w:afterAutospacing="1"/>
      </w:pPr>
      <w:bookmarkStart w:id="3" w:name="dieu_1"/>
      <w:r>
        <w:rPr>
          <w:b/>
          <w:bCs/>
          <w:lang w:val="vi-VN"/>
        </w:rPr>
        <w:t>Điều 1. Phạm vi điều chỉnh</w:t>
      </w:r>
      <w:bookmarkEnd w:id="3"/>
    </w:p>
    <w:p w14:paraId="764DB101" w14:textId="77777777" w:rsidR="00000000" w:rsidRDefault="001F5273">
      <w:pPr>
        <w:spacing w:before="120" w:after="280" w:afterAutospacing="1"/>
      </w:pPr>
      <w:r>
        <w:rPr>
          <w:lang w:val="vi-VN"/>
        </w:rPr>
        <w:t>Nghị định này quy định về nội dung chi hoạt độn</w:t>
      </w:r>
      <w:r>
        <w:rPr>
          <w:lang w:val="vi-VN"/>
        </w:rPr>
        <w:t>g của Hội đồng quản lý Bảo hiểm xã hội Việt Nam, gồm chi chế độ thù lao, chế độ hội họp và chế độ công tác phí trong nước.</w:t>
      </w:r>
    </w:p>
    <w:p w14:paraId="1D8C6183" w14:textId="77777777" w:rsidR="00000000" w:rsidRDefault="001F5273">
      <w:pPr>
        <w:spacing w:before="120" w:after="280" w:afterAutospacing="1"/>
      </w:pPr>
      <w:bookmarkStart w:id="4" w:name="dieu_2"/>
      <w:r>
        <w:rPr>
          <w:b/>
          <w:bCs/>
          <w:lang w:val="vi-VN"/>
        </w:rPr>
        <w:t>Điều 2. Đối tượng áp dụng</w:t>
      </w:r>
      <w:bookmarkEnd w:id="4"/>
    </w:p>
    <w:p w14:paraId="2D8592AB" w14:textId="77777777" w:rsidR="00000000" w:rsidRDefault="001F5273">
      <w:pPr>
        <w:spacing w:before="120" w:after="280" w:afterAutospacing="1"/>
      </w:pPr>
      <w:r>
        <w:rPr>
          <w:lang w:val="vi-VN"/>
        </w:rPr>
        <w:t>1. Các thành viên Hội đồng quản lý Bảo hiểm xã hội Việt Nam.</w:t>
      </w:r>
    </w:p>
    <w:p w14:paraId="785866CF" w14:textId="77777777" w:rsidR="00000000" w:rsidRDefault="001F5273">
      <w:pPr>
        <w:spacing w:before="120" w:after="280" w:afterAutospacing="1"/>
      </w:pPr>
      <w:r>
        <w:rPr>
          <w:lang w:val="vi-VN"/>
        </w:rPr>
        <w:t>2. Bảo hiểm xã hội Việt Nam.</w:t>
      </w:r>
    </w:p>
    <w:p w14:paraId="726D1858" w14:textId="77777777" w:rsidR="00000000" w:rsidRDefault="001F5273">
      <w:pPr>
        <w:spacing w:before="120" w:after="280" w:afterAutospacing="1"/>
      </w:pPr>
      <w:r>
        <w:rPr>
          <w:lang w:val="vi-VN"/>
        </w:rPr>
        <w:t>3. Cơ quan, tổ ch</w:t>
      </w:r>
      <w:r>
        <w:rPr>
          <w:lang w:val="vi-VN"/>
        </w:rPr>
        <w:t>ức, cá nhân khác có liên quan.</w:t>
      </w:r>
    </w:p>
    <w:p w14:paraId="5E4BDFA1" w14:textId="77777777" w:rsidR="00000000" w:rsidRDefault="001F5273">
      <w:pPr>
        <w:spacing w:before="120" w:after="280" w:afterAutospacing="1"/>
      </w:pPr>
      <w:bookmarkStart w:id="5" w:name="dieu_3"/>
      <w:r>
        <w:rPr>
          <w:b/>
          <w:bCs/>
          <w:lang w:val="vi-VN"/>
        </w:rPr>
        <w:t>Điều 3. Nội dung chi</w:t>
      </w:r>
      <w:bookmarkEnd w:id="5"/>
    </w:p>
    <w:p w14:paraId="1FCF007A" w14:textId="77777777" w:rsidR="00000000" w:rsidRDefault="001F5273">
      <w:pPr>
        <w:spacing w:before="120" w:after="280" w:afterAutospacing="1"/>
      </w:pPr>
      <w:r>
        <w:rPr>
          <w:lang w:val="vi-VN"/>
        </w:rPr>
        <w:t>1. Chi chế độ bồi dưỡng hàng tháng đối với các thành viên Hội đồng quản lý Bảo hiểm xã hội Việt Nam như sau:</w:t>
      </w:r>
    </w:p>
    <w:p w14:paraId="63520BC1" w14:textId="77777777" w:rsidR="00000000" w:rsidRDefault="001F5273">
      <w:pPr>
        <w:spacing w:before="120" w:after="280" w:afterAutospacing="1"/>
      </w:pPr>
      <w:r>
        <w:rPr>
          <w:lang w:val="vi-VN"/>
        </w:rPr>
        <w:t>a) Chủ tịch, Phó Chủ tịch Hội đồng: 3.900.000 đồng;</w:t>
      </w:r>
    </w:p>
    <w:p w14:paraId="5D99D73C" w14:textId="77777777" w:rsidR="00000000" w:rsidRDefault="001F5273">
      <w:pPr>
        <w:spacing w:before="120" w:after="280" w:afterAutospacing="1"/>
      </w:pPr>
      <w:r>
        <w:rPr>
          <w:lang w:val="vi-VN"/>
        </w:rPr>
        <w:lastRenderedPageBreak/>
        <w:t xml:space="preserve">b) </w:t>
      </w:r>
      <w:r>
        <w:t>Ủ</w:t>
      </w:r>
      <w:r>
        <w:rPr>
          <w:lang w:val="vi-VN"/>
        </w:rPr>
        <w:t>y vi</w:t>
      </w:r>
      <w:r>
        <w:t>ê</w:t>
      </w:r>
      <w:r>
        <w:rPr>
          <w:lang w:val="vi-VN"/>
        </w:rPr>
        <w:t>n Hội đồng: 3.250.000 đồng.</w:t>
      </w:r>
    </w:p>
    <w:p w14:paraId="71E2F6C1" w14:textId="77777777" w:rsidR="00000000" w:rsidRDefault="001F5273">
      <w:pPr>
        <w:spacing w:before="120" w:after="280" w:afterAutospacing="1"/>
      </w:pPr>
      <w:r>
        <w:rPr>
          <w:lang w:val="vi-VN"/>
        </w:rPr>
        <w:t>2. Chi</w:t>
      </w:r>
      <w:r>
        <w:rPr>
          <w:lang w:val="vi-VN"/>
        </w:rPr>
        <w:t xml:space="preserve"> tổ chức các cuộc họp, hội nghị của Hội đồng quản lý Bảo hiểm xã hội Việt Nam: Nội dung và mức chi thực hiện theo quy định của pháp luật về chế độ chi tổ chức các cuộc hội nghị đối với cơ quan nhà nước và đơn vị sự nghiệp công lập.</w:t>
      </w:r>
    </w:p>
    <w:p w14:paraId="2B2141C6" w14:textId="77777777" w:rsidR="00000000" w:rsidRDefault="001F5273">
      <w:pPr>
        <w:spacing w:before="120" w:after="280" w:afterAutospacing="1"/>
      </w:pPr>
      <w:r>
        <w:rPr>
          <w:lang w:val="vi-VN"/>
        </w:rPr>
        <w:t>3. Chi chế độ công tác p</w:t>
      </w:r>
      <w:r>
        <w:rPr>
          <w:lang w:val="vi-VN"/>
        </w:rPr>
        <w:t>hí đối với các thành viên Hội đồng quản lý Bảo hiểm xã hội Việt Nam khi đi giám sát, kiểm tra việc thực hiện kế hoạch thu, chi, quản lý và sử dụng các quỹ b</w:t>
      </w:r>
      <w:r>
        <w:t>ả</w:t>
      </w:r>
      <w:r>
        <w:rPr>
          <w:lang w:val="vi-VN"/>
        </w:rPr>
        <w:t>o hiểm xã hội, bảo h</w:t>
      </w:r>
      <w:r>
        <w:t>i</w:t>
      </w:r>
      <w:r>
        <w:rPr>
          <w:lang w:val="vi-VN"/>
        </w:rPr>
        <w:t>ểm thất nghiệp, bảo h</w:t>
      </w:r>
      <w:r>
        <w:t>i</w:t>
      </w:r>
      <w:r>
        <w:rPr>
          <w:lang w:val="vi-VN"/>
        </w:rPr>
        <w:t xml:space="preserve">ểm y tế theo phân công của Hội đồng quản lý Bảo hiểm xã </w:t>
      </w:r>
      <w:r>
        <w:rPr>
          <w:lang w:val="vi-VN"/>
        </w:rPr>
        <w:t>hội Việt Nam: Nội dung và mức chi thực hiện theo quy định của pháp luật về chế độ công tác phí đối với cơ quan nhà nước và đơn vị sự nghiệp công lập.</w:t>
      </w:r>
    </w:p>
    <w:p w14:paraId="35E525EB" w14:textId="77777777" w:rsidR="00000000" w:rsidRDefault="001F5273">
      <w:pPr>
        <w:spacing w:before="120" w:after="280" w:afterAutospacing="1"/>
      </w:pPr>
      <w:bookmarkStart w:id="6" w:name="dieu_4"/>
      <w:r>
        <w:rPr>
          <w:b/>
          <w:bCs/>
          <w:lang w:val="vi-VN"/>
        </w:rPr>
        <w:t>Điều 4. Nguồn kinh phí</w:t>
      </w:r>
      <w:bookmarkEnd w:id="6"/>
    </w:p>
    <w:p w14:paraId="32EC6BCF" w14:textId="77777777" w:rsidR="00000000" w:rsidRDefault="001F5273">
      <w:pPr>
        <w:spacing w:before="120" w:after="280" w:afterAutospacing="1"/>
      </w:pPr>
      <w:r>
        <w:rPr>
          <w:lang w:val="vi-VN"/>
        </w:rPr>
        <w:t>Kinh phí thực hiện Nghị định này do Bảo hiểm xã hội Việt Nam bảo đảm từ nguồn chi p</w:t>
      </w:r>
      <w:r>
        <w:rPr>
          <w:lang w:val="vi-VN"/>
        </w:rPr>
        <w:t>hí quản lý bảo hiểm xã hội, bảo hiểm thất nghiệp, bảo hiểm y tế được giao hàng năm theo quy định của pháp luật.</w:t>
      </w:r>
    </w:p>
    <w:p w14:paraId="32F0A9F5" w14:textId="77777777" w:rsidR="00000000" w:rsidRDefault="001F5273">
      <w:pPr>
        <w:spacing w:before="120" w:after="280" w:afterAutospacing="1"/>
      </w:pPr>
      <w:bookmarkStart w:id="7" w:name="dieu_5"/>
      <w:r>
        <w:rPr>
          <w:b/>
          <w:bCs/>
          <w:lang w:val="vi-VN"/>
        </w:rPr>
        <w:t>Điều 5. Hiệu lực thi hành</w:t>
      </w:r>
      <w:bookmarkEnd w:id="7"/>
    </w:p>
    <w:p w14:paraId="55B4F9F7" w14:textId="77777777" w:rsidR="00000000" w:rsidRDefault="001F5273">
      <w:pPr>
        <w:spacing w:before="120" w:after="280" w:afterAutospacing="1"/>
      </w:pPr>
      <w:r>
        <w:rPr>
          <w:lang w:val="vi-VN"/>
        </w:rPr>
        <w:t>1. Nghị định này có hiệu lực thi hành từ ngày 01 tháng 8 năm 2017.</w:t>
      </w:r>
    </w:p>
    <w:p w14:paraId="1AE64A08" w14:textId="77777777" w:rsidR="00000000" w:rsidRDefault="001F5273">
      <w:pPr>
        <w:spacing w:before="120" w:after="280" w:afterAutospacing="1"/>
      </w:pPr>
      <w:r>
        <w:rPr>
          <w:lang w:val="vi-VN"/>
        </w:rPr>
        <w:t>2. Bãi bỏ quy định: “Thành viên Hội đồng quản lý đư</w:t>
      </w:r>
      <w:r>
        <w:rPr>
          <w:lang w:val="vi-VN"/>
        </w:rPr>
        <w:t xml:space="preserve">ợc hưởng chế độ thù lao do Thủ tướng Chính phủ quy định” tại </w:t>
      </w:r>
      <w:bookmarkStart w:id="8" w:name="dc_1"/>
      <w:r>
        <w:rPr>
          <w:lang w:val="vi-VN"/>
        </w:rPr>
        <w:t>khoản 9 Điều 4 Nghị định số 01/2016/NĐ-CP</w:t>
      </w:r>
      <w:bookmarkEnd w:id="8"/>
      <w:r>
        <w:rPr>
          <w:lang w:val="vi-VN"/>
        </w:rPr>
        <w:t xml:space="preserve"> ngày 05 tháng 01 năm 2016 của Chính phủ quy định chức năng, nhiệm vụ, quyền hạn và cơ cấu tổ chức của Bảo hiểm xã hội Việt Nam.</w:t>
      </w:r>
    </w:p>
    <w:p w14:paraId="0FB2CB75" w14:textId="77777777" w:rsidR="00000000" w:rsidRDefault="001F5273">
      <w:pPr>
        <w:spacing w:before="120" w:after="280" w:afterAutospacing="1"/>
      </w:pPr>
      <w:bookmarkStart w:id="9" w:name="dieu_6"/>
      <w:r>
        <w:rPr>
          <w:b/>
          <w:bCs/>
          <w:lang w:val="vi-VN"/>
        </w:rPr>
        <w:t>Điều 6. Trách nhiệm thi h</w:t>
      </w:r>
      <w:r>
        <w:rPr>
          <w:b/>
          <w:bCs/>
          <w:lang w:val="vi-VN"/>
        </w:rPr>
        <w:t>ành</w:t>
      </w:r>
      <w:bookmarkEnd w:id="9"/>
    </w:p>
    <w:p w14:paraId="593403F8" w14:textId="77777777" w:rsidR="00000000" w:rsidRDefault="001F5273">
      <w:pPr>
        <w:spacing w:before="120" w:after="280" w:afterAutospacing="1"/>
      </w:pPr>
      <w:r>
        <w:rPr>
          <w:lang w:val="vi-VN"/>
        </w:rPr>
        <w:t>Các Bộ trưởng, Thủ trưởng cơ quan ngang bộ, Thủ trưởng cơ quan thuộc Chính phủ, Chủ tịch Hội đồng quản lý Bảo hiểm xã hội Việt Nam, Tổng giám đốc Bảo hiểm xã hội Việt Nam và Thủ trưởng các cơ quan, tổ chức có liên quan chịu trách nhiệm thi hành Nghị đị</w:t>
      </w:r>
      <w:r>
        <w:rPr>
          <w:lang w:val="vi-VN"/>
        </w:rPr>
        <w:t>nh này./.</w:t>
      </w:r>
    </w:p>
    <w:p w14:paraId="3B893156" w14:textId="77777777" w:rsidR="00000000" w:rsidRDefault="001F527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0426E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368DD5" w14:textId="77777777" w:rsidR="00000000" w:rsidRDefault="001F5273">
            <w:pPr>
              <w:spacing w:before="120"/>
            </w:pPr>
            <w:r>
              <w:rPr>
                <w:b/>
                <w:bCs/>
                <w:i/>
                <w:iCs/>
                <w:lang w:val="vi-VN"/>
              </w:rPr>
              <w:br/>
              <w:t>Nơi nhận:</w:t>
            </w:r>
            <w:r>
              <w:rPr>
                <w:b/>
                <w:bCs/>
                <w:i/>
                <w:iCs/>
                <w:lang w:val="vi-VN"/>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br/>
            </w:r>
            <w:r>
              <w:rPr>
                <w:sz w:val="16"/>
                <w:lang w:val="vi-VN"/>
              </w:rPr>
              <w:t xml:space="preserve">- HĐND, UBND các tỉnh, thành phố trực thuộc </w:t>
            </w:r>
            <w:r>
              <w:rPr>
                <w:sz w:val="16"/>
              </w:rPr>
              <w:t>tr</w:t>
            </w:r>
            <w:r>
              <w:rPr>
                <w:sz w:val="16"/>
                <w:lang w:val="vi-VN"/>
              </w:rPr>
              <w:t>ung ương;</w:t>
            </w:r>
            <w:r>
              <w:rPr>
                <w:sz w:val="16"/>
              </w:rPr>
              <w:br/>
            </w:r>
            <w:r>
              <w:rPr>
                <w:sz w:val="16"/>
                <w:lang w:val="vi-VN"/>
              </w:rPr>
              <w:t>- V</w:t>
            </w:r>
            <w:r>
              <w:rPr>
                <w:sz w:val="16"/>
              </w:rPr>
              <w:t>ă</w:t>
            </w:r>
            <w:r>
              <w:rPr>
                <w:sz w:val="16"/>
                <w:lang w:val="vi-VN"/>
              </w:rPr>
              <w:t>n phòng Trung ương và các Ban của Đảng;</w:t>
            </w:r>
            <w:r>
              <w:rPr>
                <w:sz w:val="16"/>
              </w:rPr>
              <w:br/>
              <w:t xml:space="preserve">- </w:t>
            </w:r>
            <w:r>
              <w:rPr>
                <w:sz w:val="16"/>
                <w:lang w:val="vi-VN"/>
              </w:rPr>
              <w:t>Văn ph</w:t>
            </w:r>
            <w:r>
              <w:rPr>
                <w:sz w:val="16"/>
                <w:lang w:val="vi-VN"/>
              </w:rPr>
              <w:t>òng Tổng Bí thư;</w:t>
            </w:r>
            <w:r>
              <w:rPr>
                <w:sz w:val="16"/>
              </w:rPr>
              <w:br/>
            </w:r>
            <w:r>
              <w:rPr>
                <w:sz w:val="16"/>
                <w:lang w:val="vi-VN"/>
              </w:rPr>
              <w:t>- Văn phòng Chủ tịch nước;</w:t>
            </w:r>
            <w:r>
              <w:rPr>
                <w:sz w:val="16"/>
              </w:rPr>
              <w:br/>
            </w:r>
            <w:r>
              <w:rPr>
                <w:sz w:val="16"/>
                <w:lang w:val="vi-VN"/>
              </w:rPr>
              <w:t>- Hội đồng dân tộc và các Ủy ban của Quốc hội;</w:t>
            </w:r>
            <w:r>
              <w:rPr>
                <w:sz w:val="16"/>
              </w:rPr>
              <w:br/>
            </w:r>
            <w:r>
              <w:rPr>
                <w:sz w:val="16"/>
                <w:lang w:val="vi-VN"/>
              </w:rPr>
              <w:t>- V</w:t>
            </w:r>
            <w:r>
              <w:rPr>
                <w:sz w:val="16"/>
              </w:rPr>
              <w:t>ă</w:t>
            </w:r>
            <w:r>
              <w:rPr>
                <w:sz w:val="16"/>
                <w:lang w:val="vi-VN"/>
              </w:rPr>
              <w:t>n phòng Quốc hội;</w:t>
            </w:r>
            <w:r>
              <w:rPr>
                <w:sz w:val="16"/>
              </w:rPr>
              <w:br/>
            </w:r>
            <w:r>
              <w:rPr>
                <w:sz w:val="16"/>
                <w:lang w:val="vi-VN"/>
              </w:rPr>
              <w:t>- Tòa án nhân dân tối cao;</w:t>
            </w:r>
            <w:r>
              <w:rPr>
                <w:sz w:val="16"/>
              </w:rPr>
              <w:br/>
            </w:r>
            <w:r>
              <w:rPr>
                <w:sz w:val="16"/>
                <w:lang w:val="vi-VN"/>
              </w:rPr>
              <w:t>- Viện kiểm sát nhân dân t</w:t>
            </w:r>
            <w:r>
              <w:rPr>
                <w:sz w:val="16"/>
              </w:rPr>
              <w:t>ố</w:t>
            </w:r>
            <w:r>
              <w:rPr>
                <w:sz w:val="16"/>
                <w:lang w:val="vi-VN"/>
              </w:rPr>
              <w:t>i cao;</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w:t>
            </w:r>
            <w:r>
              <w:rPr>
                <w:sz w:val="16"/>
                <w:lang w:val="vi-VN"/>
              </w:rPr>
              <w:t xml:space="preserve"> xã hội;</w:t>
            </w:r>
            <w:r>
              <w:rPr>
                <w:sz w:val="16"/>
              </w:rPr>
              <w:br/>
            </w:r>
            <w:r>
              <w:rPr>
                <w:sz w:val="16"/>
                <w:lang w:val="vi-VN"/>
              </w:rPr>
              <w:lastRenderedPageBreak/>
              <w:t>- Ngân hàng Phát triển Việt Nam;</w:t>
            </w:r>
            <w:r>
              <w:rPr>
                <w:sz w:val="16"/>
              </w:rPr>
              <w:br/>
            </w:r>
            <w:r>
              <w:rPr>
                <w:sz w:val="16"/>
                <w:lang w:val="vi-VN"/>
              </w:rPr>
              <w:t xml:space="preserve">- Ủy ban trung ương Mặt </w:t>
            </w:r>
            <w:r>
              <w:rPr>
                <w:sz w:val="16"/>
              </w:rPr>
              <w:t>tr</w:t>
            </w:r>
            <w:r>
              <w:rPr>
                <w:sz w:val="16"/>
                <w:lang w:val="vi-VN"/>
              </w:rPr>
              <w:t>ận Tổ quốc Việt Nam;</w:t>
            </w:r>
            <w:r>
              <w:rPr>
                <w:sz w:val="16"/>
              </w:rPr>
              <w:br/>
            </w:r>
            <w:r>
              <w:rPr>
                <w:sz w:val="16"/>
                <w:lang w:val="vi-VN"/>
              </w:rPr>
              <w:t>- Cơ quan trung ương của các đoàn thể;</w:t>
            </w:r>
            <w:r>
              <w:rPr>
                <w:sz w:val="16"/>
              </w:rPr>
              <w:br/>
            </w:r>
            <w:r>
              <w:rPr>
                <w:sz w:val="16"/>
                <w:lang w:val="vi-VN"/>
              </w:rPr>
              <w:t xml:space="preserve">- VPCP: BTCN, các PCN, Trợ lý TTg, TGĐ </w:t>
            </w:r>
            <w:r>
              <w:rPr>
                <w:sz w:val="16"/>
              </w:rPr>
              <w:t>C</w:t>
            </w:r>
            <w:r>
              <w:rPr>
                <w:sz w:val="16"/>
                <w:lang w:val="vi-VN"/>
              </w:rPr>
              <w:t>ổng TTĐT, các Vụ, Cục, đơn vị tr</w:t>
            </w:r>
            <w:r>
              <w:rPr>
                <w:sz w:val="16"/>
              </w:rPr>
              <w:t>ự</w:t>
            </w:r>
            <w:r>
              <w:rPr>
                <w:sz w:val="16"/>
                <w:lang w:val="vi-VN"/>
              </w:rPr>
              <w:t>c thuộc, Công báo;</w:t>
            </w:r>
            <w:r>
              <w:rPr>
                <w:sz w:val="16"/>
              </w:rPr>
              <w:br/>
            </w:r>
            <w:r>
              <w:rPr>
                <w:sz w:val="16"/>
                <w:lang w:val="vi-VN"/>
              </w:rPr>
              <w:t>- Lưu: VT, KTTH (3b).</w:t>
            </w:r>
            <w:r>
              <w:rPr>
                <w:vertAlign w:val="subscript"/>
              </w:rPr>
              <w:t xml:space="preserve">KN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EBD2D5" w14:textId="77777777" w:rsidR="00000000" w:rsidRDefault="001F5273">
            <w:pPr>
              <w:spacing w:before="120"/>
              <w:jc w:val="center"/>
            </w:pPr>
            <w:r>
              <w:rPr>
                <w:b/>
                <w:bCs/>
              </w:rPr>
              <w:lastRenderedPageBreak/>
              <w:t>TM. CHÍNH P</w:t>
            </w:r>
            <w:r>
              <w:rPr>
                <w:b/>
                <w:bCs/>
              </w:rPr>
              <w:t>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14:paraId="60550026" w14:textId="77777777" w:rsidR="00000000" w:rsidRDefault="001F5273">
      <w:pPr>
        <w:spacing w:before="120" w:after="280" w:afterAutospacing="1"/>
      </w:pPr>
      <w:r>
        <w:rPr>
          <w:lang w:val="vi-VN"/>
        </w:rPr>
        <w:t> </w:t>
      </w:r>
    </w:p>
    <w:p w14:paraId="37F38D4B" w14:textId="77777777" w:rsidR="00000000" w:rsidRDefault="001F5273">
      <w:pPr>
        <w:spacing w:after="280" w:afterAutospacing="1"/>
      </w:pPr>
      <w:r>
        <w:rPr>
          <w:lang w:val="vi-VN"/>
        </w:rPr>
        <w:t> </w:t>
      </w:r>
    </w:p>
    <w:p w14:paraId="158047C5" w14:textId="77777777" w:rsidR="001F5273" w:rsidRDefault="001F5273">
      <w:pPr>
        <w:spacing w:after="280" w:afterAutospacing="1"/>
      </w:pPr>
      <w:r>
        <w:t> </w:t>
      </w:r>
    </w:p>
    <w:sectPr w:rsidR="001F52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18"/>
    <w:rsid w:val="001F5273"/>
    <w:rsid w:val="004620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95C248"/>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2022-08-02T03:00:00Z</dcterms:created>
  <dcterms:modified xsi:type="dcterms:W3CDTF">2022-08-02T03:00:00Z</dcterms:modified>
</cp:coreProperties>
</file>