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bookmarkStart w:id="0" w:name="_GoBack"/>
            <w:bookmarkEnd w:id="0"/>
            <w:r>
              <w:rPr>
                <w:b/>
                <w:bCs/>
                <w:lang w:val="vi-VN"/>
              </w:rPr>
              <w:t>BỘ VĂN HÓA, THỂ THAO</w:t>
            </w:r>
            <w:r>
              <w:rPr>
                <w:b/>
                <w:bCs/>
              </w:rPr>
              <w:br/>
            </w:r>
            <w:r>
              <w:rPr>
                <w:b/>
                <w:bCs/>
                <w:lang w:val="vi-VN"/>
              </w:rPr>
              <w:t>VÀ DU LỊCH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Số: 0</w:t>
            </w:r>
            <w:r>
              <w:t>5</w:t>
            </w:r>
            <w:r>
              <w:rPr>
                <w:lang w:val="vi-VN"/>
              </w:rPr>
              <w:t>/2018/TT-BVHTTDL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right"/>
            </w:pPr>
            <w:r>
              <w:rPr>
                <w:i/>
                <w:iCs/>
                <w:lang w:val="vi-VN"/>
              </w:rPr>
              <w:t xml:space="preserve">Hà Nội, ngày </w:t>
            </w:r>
            <w:r>
              <w:rPr>
                <w:i/>
                <w:iCs/>
              </w:rPr>
              <w:t>22</w:t>
            </w:r>
            <w:r>
              <w:rPr>
                <w:i/>
                <w:iCs/>
                <w:lang w:val="vi-VN"/>
              </w:rPr>
              <w:t xml:space="preserve"> tháng 01 năm 2018</w:t>
            </w:r>
          </w:p>
        </w:tc>
      </w:tr>
    </w:tbl>
    <w:p w:rsidR="00000000" w:rsidRDefault="00326193">
      <w:pPr>
        <w:spacing w:before="120" w:after="280" w:afterAutospacing="1"/>
      </w:pPr>
      <w:r>
        <w:t> </w:t>
      </w:r>
    </w:p>
    <w:p w:rsidR="00000000" w:rsidRDefault="00326193">
      <w:pPr>
        <w:spacing w:before="120" w:after="280" w:afterAutospacing="1"/>
        <w:jc w:val="center"/>
      </w:pPr>
      <w:bookmarkStart w:id="1" w:name="loai_1"/>
      <w:r>
        <w:rPr>
          <w:b/>
          <w:bCs/>
          <w:lang w:val="vi-VN"/>
        </w:rPr>
        <w:t>THÔNG TƯ</w:t>
      </w:r>
      <w:bookmarkEnd w:id="1"/>
    </w:p>
    <w:p w:rsidR="00000000" w:rsidRDefault="00326193">
      <w:pPr>
        <w:spacing w:before="120" w:after="280" w:afterAutospacing="1"/>
        <w:jc w:val="center"/>
      </w:pPr>
      <w:bookmarkStart w:id="2" w:name="loai_1_name"/>
      <w:r>
        <w:rPr>
          <w:lang w:val="vi-VN"/>
        </w:rPr>
        <w:t>QUY ĐỊNH VỀ CƠ SỞ VẬT CHẤT, TRANG THIẾT BỊ VÀ TẬP HUẤN NHÂN VIÊN C</w:t>
      </w:r>
      <w:r>
        <w:rPr>
          <w:lang w:val="vi-VN"/>
        </w:rPr>
        <w:t>HUYÊN MÔN ĐỐI VỚI MÔN BÓNG BÀN</w:t>
      </w:r>
      <w:bookmarkEnd w:id="2"/>
    </w:p>
    <w:p w:rsidR="00000000" w:rsidRDefault="00326193">
      <w:pPr>
        <w:spacing w:before="120" w:after="280" w:afterAutospacing="1"/>
      </w:pPr>
      <w:r>
        <w:rPr>
          <w:i/>
          <w:iCs/>
          <w:lang w:val="vi-VN"/>
        </w:rPr>
        <w:t>Căn cứ Luật Thể dục, thể thao ngày 29 tháng 11 năm 2006;</w:t>
      </w:r>
    </w:p>
    <w:p w:rsidR="00000000" w:rsidRDefault="00326193">
      <w:pPr>
        <w:spacing w:before="120" w:after="280" w:afterAutospacing="1"/>
      </w:pPr>
      <w:r>
        <w:rPr>
          <w:i/>
          <w:iCs/>
          <w:lang w:val="vi-VN"/>
        </w:rPr>
        <w:t>Căn cứ Nghị định số 106/2016/NĐ-CP ngày 01 tháng 7 năm 2016 của Chính phủ quy định điều kiện kinh doanh hoạt động thể thao;</w:t>
      </w:r>
    </w:p>
    <w:p w:rsidR="00000000" w:rsidRDefault="00326193">
      <w:pPr>
        <w:spacing w:before="120" w:after="280" w:afterAutospacing="1"/>
      </w:pPr>
      <w:r>
        <w:rPr>
          <w:i/>
          <w:iCs/>
          <w:lang w:val="vi-VN"/>
        </w:rPr>
        <w:t xml:space="preserve">Căn cứ Nghị định số 79/2017/NĐ-CP ngày </w:t>
      </w:r>
      <w:r>
        <w:rPr>
          <w:i/>
          <w:iCs/>
        </w:rPr>
        <w:t>1</w:t>
      </w:r>
      <w:r>
        <w:rPr>
          <w:i/>
          <w:iCs/>
          <w:lang w:val="vi-VN"/>
        </w:rPr>
        <w:t>7 th</w:t>
      </w:r>
      <w:r>
        <w:rPr>
          <w:i/>
          <w:iCs/>
          <w:lang w:val="vi-VN"/>
        </w:rPr>
        <w:t>áng 7 năm 2017 của Chính phủ quy định chức năng, nhiệm vụ, quyền hạn và cơ cấu tổ chức của Bộ Văn hóa, Thể thao và Du lịch;</w:t>
      </w:r>
    </w:p>
    <w:p w:rsidR="00000000" w:rsidRDefault="00326193">
      <w:pPr>
        <w:spacing w:before="120" w:after="280" w:afterAutospacing="1"/>
      </w:pPr>
      <w:r>
        <w:rPr>
          <w:i/>
          <w:iCs/>
          <w:lang w:val="vi-VN"/>
        </w:rPr>
        <w:t>Theo đề nghị của Tổng cục trưởng Tổng cục Thể dục thể thao;</w:t>
      </w:r>
    </w:p>
    <w:p w:rsidR="00000000" w:rsidRDefault="00326193">
      <w:pPr>
        <w:spacing w:before="120" w:after="280" w:afterAutospacing="1"/>
      </w:pPr>
      <w:r>
        <w:rPr>
          <w:i/>
          <w:iCs/>
          <w:lang w:val="vi-VN"/>
        </w:rPr>
        <w:t xml:space="preserve">Bộ trưởng Bộ Văn hóa, Thể thao và Du lịch ban hành Thông tư quy định về </w:t>
      </w:r>
      <w:r>
        <w:rPr>
          <w:i/>
          <w:iCs/>
          <w:lang w:val="vi-VN"/>
        </w:rPr>
        <w:t>cơ sở vật chất, trang thiết bị và tập huấn nhân viên chuyên môn đối với môn Bóng bàn.</w:t>
      </w:r>
    </w:p>
    <w:p w:rsidR="00000000" w:rsidRDefault="00326193">
      <w:pPr>
        <w:spacing w:before="120" w:after="280" w:afterAutospacing="1"/>
      </w:pPr>
      <w:bookmarkStart w:id="3" w:name="dieu_1"/>
      <w:r>
        <w:rPr>
          <w:b/>
          <w:bCs/>
          <w:lang w:val="vi-VN"/>
        </w:rPr>
        <w:t>Điều 1. Phạm vi điều chỉnh</w:t>
      </w:r>
      <w:bookmarkEnd w:id="3"/>
    </w:p>
    <w:p w:rsidR="00000000" w:rsidRDefault="00326193">
      <w:pPr>
        <w:spacing w:before="120" w:after="280" w:afterAutospacing="1"/>
      </w:pPr>
      <w:r>
        <w:rPr>
          <w:lang w:val="vi-VN"/>
        </w:rPr>
        <w:t xml:space="preserve">1. Thông tư này quy định về cơ sở vật chất, trang thiết bị và tập huấn nhân viên chuyên môn đáp ứng yêu cầu hoạt động tập luyện và thi đấu môn </w:t>
      </w:r>
      <w:r>
        <w:rPr>
          <w:lang w:val="vi-VN"/>
        </w:rPr>
        <w:t>Bóng bàn.</w:t>
      </w:r>
    </w:p>
    <w:p w:rsidR="00000000" w:rsidRDefault="00326193">
      <w:pPr>
        <w:spacing w:before="120" w:after="280" w:afterAutospacing="1"/>
      </w:pPr>
      <w:r>
        <w:rPr>
          <w:lang w:val="vi-VN"/>
        </w:rPr>
        <w:t xml:space="preserve">2. Tiêu chuẩn cơ sở vật chất, trang thiết bị tập luyện và thi đấu thể thao thành tích cao môn Bóng bàn được thực hiện theo quy định tại </w:t>
      </w:r>
      <w:bookmarkStart w:id="4" w:name="dc_1"/>
      <w:r>
        <w:rPr>
          <w:lang w:val="vi-VN"/>
        </w:rPr>
        <w:t>Điều 43 Luật Thể dục, thể thao</w:t>
      </w:r>
      <w:bookmarkEnd w:id="4"/>
      <w:r>
        <w:rPr>
          <w:lang w:val="vi-VN"/>
        </w:rPr>
        <w:t>.</w:t>
      </w:r>
    </w:p>
    <w:p w:rsidR="00000000" w:rsidRDefault="00326193">
      <w:pPr>
        <w:spacing w:before="120" w:after="280" w:afterAutospacing="1"/>
      </w:pPr>
      <w:bookmarkStart w:id="5" w:name="dieu_2"/>
      <w:r>
        <w:rPr>
          <w:b/>
          <w:bCs/>
          <w:lang w:val="vi-VN"/>
        </w:rPr>
        <w:t>Điều 2. Đối tượng áp dụng</w:t>
      </w:r>
      <w:bookmarkEnd w:id="5"/>
    </w:p>
    <w:p w:rsidR="00000000" w:rsidRDefault="00326193">
      <w:pPr>
        <w:spacing w:before="120" w:after="280" w:afterAutospacing="1"/>
      </w:pPr>
      <w:r>
        <w:rPr>
          <w:lang w:val="vi-VN"/>
        </w:rPr>
        <w:t>Thông tư này áp dụng đối với tổ chức, cá nhân tổ chứ</w:t>
      </w:r>
      <w:r>
        <w:rPr>
          <w:lang w:val="vi-VN"/>
        </w:rPr>
        <w:t>c hoạt động tập luyện, thi đấu và tập huấn nhân viên chuyên môn đối với môn Bóng bàn tại Việt Nam.</w:t>
      </w:r>
    </w:p>
    <w:p w:rsidR="00000000" w:rsidRDefault="00326193">
      <w:pPr>
        <w:spacing w:before="120" w:after="280" w:afterAutospacing="1"/>
      </w:pPr>
      <w:bookmarkStart w:id="6" w:name="dieu_3"/>
      <w:r>
        <w:rPr>
          <w:b/>
          <w:bCs/>
          <w:lang w:val="vi-VN"/>
        </w:rPr>
        <w:t>Điều 3. Cơ sở vật chất, trang thiết bị tập luyện</w:t>
      </w:r>
      <w:bookmarkEnd w:id="6"/>
    </w:p>
    <w:p w:rsidR="00000000" w:rsidRDefault="00326193">
      <w:pPr>
        <w:spacing w:before="120" w:after="280" w:afterAutospacing="1"/>
      </w:pPr>
      <w:r>
        <w:rPr>
          <w:lang w:val="vi-VN"/>
        </w:rPr>
        <w:t>1. Khu vực đặt bàn phải có mái che, kín gió, không bị chói mắt. Sàn bằng phẳng, không trơn trượt.</w:t>
      </w:r>
    </w:p>
    <w:p w:rsidR="00000000" w:rsidRDefault="00326193">
      <w:pPr>
        <w:spacing w:before="120" w:after="280" w:afterAutospacing="1"/>
      </w:pPr>
      <w:r>
        <w:rPr>
          <w:lang w:val="vi-VN"/>
        </w:rPr>
        <w:t>2. Bàn bón</w:t>
      </w:r>
      <w:r>
        <w:rPr>
          <w:lang w:val="vi-VN"/>
        </w:rPr>
        <w:t>g được đặt trong khu vực có kích thước chiều rộng ít nhất 5m, chiều dài ít nhất 8m.</w:t>
      </w:r>
    </w:p>
    <w:p w:rsidR="00000000" w:rsidRDefault="00326193">
      <w:pPr>
        <w:spacing w:before="120" w:after="280" w:afterAutospacing="1"/>
      </w:pPr>
      <w:r>
        <w:rPr>
          <w:lang w:val="vi-VN"/>
        </w:rPr>
        <w:lastRenderedPageBreak/>
        <w:t>3. Mặt bàn có độ nẩy đồng đều khoảng 23 cm khi để quả bóng tiêu chuẩn rơi từ độ cao 30cm xuống mặt bàn.</w:t>
      </w:r>
    </w:p>
    <w:p w:rsidR="00000000" w:rsidRDefault="00326193">
      <w:pPr>
        <w:spacing w:before="120" w:after="280" w:afterAutospacing="1"/>
      </w:pPr>
      <w:r>
        <w:rPr>
          <w:lang w:val="vi-VN"/>
        </w:rPr>
        <w:t>4. Quả bóng hình cầu có đường kính 40mm, nặng 2,7g làm b</w:t>
      </w:r>
      <w:r>
        <w:t>ằ</w:t>
      </w:r>
      <w:r>
        <w:rPr>
          <w:lang w:val="vi-VN"/>
        </w:rPr>
        <w:t>ng chất liệ</w:t>
      </w:r>
      <w:r>
        <w:rPr>
          <w:lang w:val="vi-VN"/>
        </w:rPr>
        <w:t>u xen-lu-lô-ít hoặc chất liệu nhựa dẻo tương tự, có màu trắng hoặc màu da cam.</w:t>
      </w:r>
    </w:p>
    <w:p w:rsidR="00000000" w:rsidRDefault="00326193">
      <w:pPr>
        <w:spacing w:before="120" w:after="280" w:afterAutospacing="1"/>
      </w:pPr>
      <w:r>
        <w:rPr>
          <w:lang w:val="vi-VN"/>
        </w:rPr>
        <w:t>5. Lưới và cọc lưới có chiều cao 15.25cm. Khoảng cách giới hạn ngoài đường biên dọc với cọc lưới là 15.25cm, mép trên của lưới phải cao đ</w:t>
      </w:r>
      <w:r>
        <w:t>ề</w:t>
      </w:r>
      <w:r>
        <w:rPr>
          <w:lang w:val="vi-VN"/>
        </w:rPr>
        <w:t>u 15.25cm, mép dưới của lưới phải sát v</w:t>
      </w:r>
      <w:r>
        <w:rPr>
          <w:lang w:val="vi-VN"/>
        </w:rPr>
        <w:t>ới mặt bản, cạnh bên của lưới phải sát với cọc lưới.</w:t>
      </w:r>
    </w:p>
    <w:p w:rsidR="00000000" w:rsidRDefault="00326193">
      <w:pPr>
        <w:spacing w:before="120" w:after="280" w:afterAutospacing="1"/>
      </w:pPr>
      <w:r>
        <w:rPr>
          <w:lang w:val="vi-VN"/>
        </w:rPr>
        <w:t>6. Bảo đảm ánh sáng đ</w:t>
      </w:r>
      <w:r>
        <w:t>ồ</w:t>
      </w:r>
      <w:r>
        <w:rPr>
          <w:lang w:val="vi-VN"/>
        </w:rPr>
        <w:t>ng đ</w:t>
      </w:r>
      <w:r>
        <w:t>ề</w:t>
      </w:r>
      <w:r>
        <w:rPr>
          <w:lang w:val="vi-VN"/>
        </w:rPr>
        <w:t>u tới các điểm trên mặt bàn và khu vực bàn bóng ít nhất 300 Lux, đèn được thiết kế cho mỗi bàn có chiều cao ít nhất tính từ mặt bàn là 4m.</w:t>
      </w:r>
    </w:p>
    <w:p w:rsidR="00000000" w:rsidRDefault="00326193">
      <w:pPr>
        <w:spacing w:before="120" w:after="280" w:afterAutospacing="1"/>
      </w:pPr>
      <w:r>
        <w:rPr>
          <w:lang w:val="vi-VN"/>
        </w:rPr>
        <w:t xml:space="preserve">7. Tấm chắn bóng quanh khuôn viên </w:t>
      </w:r>
      <w:r>
        <w:t>đ</w:t>
      </w:r>
      <w:r>
        <w:rPr>
          <w:lang w:val="vi-VN"/>
        </w:rPr>
        <w:t>ặt</w:t>
      </w:r>
      <w:r>
        <w:rPr>
          <w:lang w:val="vi-VN"/>
        </w:rPr>
        <w:t xml:space="preserve"> bàn cao 75cm, sẫm màu, tránh phản quang và lẫn với màu của quả bóng.</w:t>
      </w:r>
    </w:p>
    <w:p w:rsidR="00000000" w:rsidRDefault="00326193">
      <w:pPr>
        <w:spacing w:before="120" w:after="280" w:afterAutospacing="1"/>
      </w:pPr>
      <w:r>
        <w:rPr>
          <w:lang w:val="vi-VN"/>
        </w:rPr>
        <w:t>8. Có túi sơ cứu theo quy định của Bộ Y tế, nơi thay đồ, cất giữ đồ và khu vực vệ sinh.</w:t>
      </w:r>
    </w:p>
    <w:p w:rsidR="00000000" w:rsidRDefault="00326193">
      <w:pPr>
        <w:spacing w:before="120" w:after="280" w:afterAutospacing="1"/>
      </w:pPr>
      <w:r>
        <w:rPr>
          <w:lang w:val="vi-VN"/>
        </w:rPr>
        <w:t>9. Có bảng nội quy quy định những nội dung chủ yếu sau: Giờ tập luyện, đối tượng tham gia tập luyệ</w:t>
      </w:r>
      <w:r>
        <w:rPr>
          <w:lang w:val="vi-VN"/>
        </w:rPr>
        <w:t xml:space="preserve">n, các đối tượng không được </w:t>
      </w:r>
      <w:r>
        <w:t>t</w:t>
      </w:r>
      <w:r>
        <w:rPr>
          <w:lang w:val="vi-VN"/>
        </w:rPr>
        <w:t>ha</w:t>
      </w:r>
      <w:r>
        <w:t xml:space="preserve">m </w:t>
      </w:r>
      <w:r>
        <w:rPr>
          <w:lang w:val="vi-VN"/>
        </w:rPr>
        <w:t>gia tập luyện, biện pháp bảo đảm an toàn khi tập luyện.</w:t>
      </w:r>
    </w:p>
    <w:p w:rsidR="00000000" w:rsidRDefault="00326193">
      <w:pPr>
        <w:spacing w:before="120" w:after="280" w:afterAutospacing="1"/>
      </w:pPr>
      <w:bookmarkStart w:id="7" w:name="dieu_4"/>
      <w:r>
        <w:rPr>
          <w:b/>
          <w:bCs/>
          <w:lang w:val="vi-VN"/>
        </w:rPr>
        <w:t>Điều 4. Cơ sở vật chất, trang thiết bị thi đấu</w:t>
      </w:r>
      <w:bookmarkEnd w:id="7"/>
    </w:p>
    <w:p w:rsidR="00000000" w:rsidRDefault="00326193">
      <w:pPr>
        <w:spacing w:before="120" w:after="280" w:afterAutospacing="1"/>
      </w:pPr>
      <w:r>
        <w:rPr>
          <w:lang w:val="vi-VN"/>
        </w:rPr>
        <w:t>1. Thực hiện theo quy định tại các khoản 1, 3, 4, 5, 6, 7 và 8 Điều 3 Thông tư này.</w:t>
      </w:r>
    </w:p>
    <w:p w:rsidR="00000000" w:rsidRDefault="00326193">
      <w:pPr>
        <w:spacing w:before="120" w:after="280" w:afterAutospacing="1"/>
      </w:pPr>
      <w:r>
        <w:rPr>
          <w:lang w:val="vi-VN"/>
        </w:rPr>
        <w:t>2. Bàn bóng được đặt trong khuôn viê</w:t>
      </w:r>
      <w:r>
        <w:rPr>
          <w:lang w:val="vi-VN"/>
        </w:rPr>
        <w:t>n có kích thước chiều rộng ít nhất 7m, chiều dài ít nhất 14m.</w:t>
      </w:r>
    </w:p>
    <w:p w:rsidR="00000000" w:rsidRDefault="00326193">
      <w:pPr>
        <w:spacing w:before="120" w:after="280" w:afterAutospacing="1"/>
      </w:pPr>
      <w:r>
        <w:rPr>
          <w:lang w:val="vi-VN"/>
        </w:rPr>
        <w:t>4. Có bàn đ</w:t>
      </w:r>
      <w:r>
        <w:t xml:space="preserve">ể </w:t>
      </w:r>
      <w:r>
        <w:rPr>
          <w:lang w:val="vi-VN"/>
        </w:rPr>
        <w:t>bảng lật số, ghế trọng tài.</w:t>
      </w:r>
    </w:p>
    <w:p w:rsidR="00000000" w:rsidRDefault="00326193">
      <w:pPr>
        <w:spacing w:before="120" w:after="280" w:afterAutospacing="1"/>
      </w:pPr>
      <w:bookmarkStart w:id="8" w:name="dieu_5"/>
      <w:r>
        <w:rPr>
          <w:b/>
          <w:bCs/>
          <w:lang w:val="vi-VN"/>
        </w:rPr>
        <w:t>Điều 5. Mật độ hướng dẫn tập luyện</w:t>
      </w:r>
      <w:bookmarkEnd w:id="8"/>
    </w:p>
    <w:p w:rsidR="00000000" w:rsidRDefault="00326193">
      <w:pPr>
        <w:spacing w:before="120" w:after="280" w:afterAutospacing="1"/>
      </w:pPr>
      <w:r>
        <w:rPr>
          <w:lang w:val="vi-VN"/>
        </w:rPr>
        <w:t>Mỗi người hướng dẫn tập luyện hướng dẫn không quá 30 người trong một buổi tập.</w:t>
      </w:r>
    </w:p>
    <w:p w:rsidR="00000000" w:rsidRDefault="00326193">
      <w:pPr>
        <w:spacing w:before="120" w:after="280" w:afterAutospacing="1"/>
      </w:pPr>
      <w:bookmarkStart w:id="9" w:name="dieu_6"/>
      <w:r>
        <w:rPr>
          <w:b/>
          <w:bCs/>
          <w:lang w:val="vi-VN"/>
        </w:rPr>
        <w:t>Điều 6. Tập huấn nhân viên chuyên môn</w:t>
      </w:r>
      <w:bookmarkEnd w:id="9"/>
    </w:p>
    <w:p w:rsidR="00000000" w:rsidRDefault="00326193">
      <w:pPr>
        <w:spacing w:before="120" w:after="280" w:afterAutospacing="1"/>
      </w:pPr>
      <w:r>
        <w:rPr>
          <w:lang w:val="vi-VN"/>
        </w:rPr>
        <w:t>1</w:t>
      </w:r>
      <w:r>
        <w:rPr>
          <w:lang w:val="vi-VN"/>
        </w:rPr>
        <w:t>. Tổng cục Th</w:t>
      </w:r>
      <w:r>
        <w:t xml:space="preserve">ể </w:t>
      </w:r>
      <w:r>
        <w:rPr>
          <w:lang w:val="vi-VN"/>
        </w:rPr>
        <w:t>dục th</w:t>
      </w:r>
      <w:r>
        <w:t xml:space="preserve">ể </w:t>
      </w:r>
      <w:r>
        <w:rPr>
          <w:lang w:val="vi-VN"/>
        </w:rPr>
        <w:t>thao, Liên đoàn Bóng bàn Việt Nam hoặc Sở Văn hóa, Thể thao và Du lịch, Sở Văn hóa và Thể thao các tỉnh, thành phố trực thuộc Trung ương tổ chức tập huấn chuyên môn cho người hướng dẫn tập luyện môn Bóng bàn.</w:t>
      </w:r>
    </w:p>
    <w:p w:rsidR="00000000" w:rsidRDefault="00326193">
      <w:pPr>
        <w:spacing w:before="120" w:after="280" w:afterAutospacing="1"/>
      </w:pPr>
      <w:r>
        <w:rPr>
          <w:lang w:val="vi-VN"/>
        </w:rPr>
        <w:t>2. Tổng cục Th</w:t>
      </w:r>
      <w:r>
        <w:t xml:space="preserve">ể </w:t>
      </w:r>
      <w:r>
        <w:rPr>
          <w:lang w:val="vi-VN"/>
        </w:rPr>
        <w:t xml:space="preserve">dục thể </w:t>
      </w:r>
      <w:r>
        <w:rPr>
          <w:lang w:val="vi-VN"/>
        </w:rPr>
        <w:t>thao có trách nhiệm xây dựng nội dung, chương trình tập huấn chuyên môn cho người hướng dẫn tập luyện môn Bóng bàn trình Bộ trưởng Bộ Văn hóa, Thể thao và Du lịch quyết định.</w:t>
      </w:r>
    </w:p>
    <w:p w:rsidR="00000000" w:rsidRDefault="00326193">
      <w:pPr>
        <w:spacing w:before="120" w:after="280" w:afterAutospacing="1"/>
      </w:pPr>
      <w:r>
        <w:rPr>
          <w:lang w:val="vi-VN"/>
        </w:rPr>
        <w:lastRenderedPageBreak/>
        <w:t>3. Giấy chứng nhận tập huấn chuyên môn cho người hướng dẫn tập luyện môn Bóng bàn</w:t>
      </w:r>
      <w:r>
        <w:rPr>
          <w:lang w:val="vi-VN"/>
        </w:rPr>
        <w:t xml:space="preserve"> do cơ quan tổ chức tập huấn cấp. Mẫu giấy chứng nhận được quy định tại </w:t>
      </w:r>
      <w:bookmarkStart w:id="10" w:name="bieumau_pl"/>
      <w:r>
        <w:rPr>
          <w:lang w:val="vi-VN"/>
        </w:rPr>
        <w:t>Phụ lục</w:t>
      </w:r>
      <w:bookmarkEnd w:id="10"/>
      <w:r>
        <w:rPr>
          <w:lang w:val="vi-VN"/>
        </w:rPr>
        <w:t xml:space="preserve"> ban hành kèm theo Thông tư này.</w:t>
      </w:r>
    </w:p>
    <w:p w:rsidR="00000000" w:rsidRDefault="00326193">
      <w:pPr>
        <w:spacing w:before="120" w:after="280" w:afterAutospacing="1"/>
      </w:pPr>
      <w:bookmarkStart w:id="11" w:name="dieu_7"/>
      <w:r>
        <w:rPr>
          <w:b/>
          <w:bCs/>
          <w:lang w:val="vi-VN"/>
        </w:rPr>
        <w:t>Điều 7. Tổ chức thực hiện</w:t>
      </w:r>
      <w:bookmarkEnd w:id="11"/>
    </w:p>
    <w:p w:rsidR="00000000" w:rsidRDefault="00326193">
      <w:pPr>
        <w:spacing w:before="120" w:after="280" w:afterAutospacing="1"/>
      </w:pPr>
      <w:r>
        <w:rPr>
          <w:lang w:val="vi-VN"/>
        </w:rPr>
        <w:t>1. T</w:t>
      </w:r>
      <w:r>
        <w:t>ổ</w:t>
      </w:r>
      <w:r>
        <w:rPr>
          <w:lang w:val="vi-VN"/>
        </w:rPr>
        <w:t>ng cục Th</w:t>
      </w:r>
      <w:r>
        <w:t xml:space="preserve">ể </w:t>
      </w:r>
      <w:r>
        <w:rPr>
          <w:lang w:val="vi-VN"/>
        </w:rPr>
        <w:t>dục thể thao có trách nhiệm hướng dẫn, kiểm tra việc thực hiện Thông tư này.</w:t>
      </w:r>
    </w:p>
    <w:p w:rsidR="00000000" w:rsidRDefault="00326193">
      <w:pPr>
        <w:spacing w:before="120" w:after="280" w:afterAutospacing="1"/>
      </w:pPr>
      <w:r>
        <w:rPr>
          <w:lang w:val="vi-VN"/>
        </w:rPr>
        <w:t xml:space="preserve">2. Cơ quan Thanh tra Văn </w:t>
      </w:r>
      <w:r>
        <w:rPr>
          <w:lang w:val="vi-VN"/>
        </w:rPr>
        <w:t>hóa, Thể thao và Du lịch tiến hành thanh tra, xử lý theo thẩm quyền đối với tổ chức, cá nhân vi phạm các quy định tại Thông tư này.</w:t>
      </w:r>
    </w:p>
    <w:p w:rsidR="00000000" w:rsidRDefault="00326193">
      <w:pPr>
        <w:spacing w:before="120" w:after="280" w:afterAutospacing="1"/>
      </w:pPr>
      <w:r>
        <w:rPr>
          <w:lang w:val="vi-VN"/>
        </w:rPr>
        <w:t xml:space="preserve">3. Sở Văn hóa, Thể thao và Du lịch, Sở Văn hóa và Thể thao các tỉnh, thành phố trực thuộc Trung ương có trách nhiệm tổ chức </w:t>
      </w:r>
      <w:r>
        <w:rPr>
          <w:lang w:val="vi-VN"/>
        </w:rPr>
        <w:t>thực hiện Thông tư này.</w:t>
      </w:r>
    </w:p>
    <w:p w:rsidR="00000000" w:rsidRDefault="00326193">
      <w:pPr>
        <w:spacing w:before="120" w:after="280" w:afterAutospacing="1"/>
      </w:pPr>
      <w:bookmarkStart w:id="12" w:name="dieu_8"/>
      <w:r>
        <w:rPr>
          <w:b/>
          <w:bCs/>
          <w:lang w:val="vi-VN"/>
        </w:rPr>
        <w:t>Điều 8. Hiệu lực thi hành</w:t>
      </w:r>
      <w:bookmarkEnd w:id="12"/>
    </w:p>
    <w:p w:rsidR="00000000" w:rsidRDefault="00326193">
      <w:pPr>
        <w:spacing w:before="120" w:after="280" w:afterAutospacing="1"/>
      </w:pPr>
      <w:r>
        <w:rPr>
          <w:lang w:val="vi-VN"/>
        </w:rPr>
        <w:t>1. Thông tư này có hiệu lực thi hành từ ngày 05 tháng 3 năm 2018.</w:t>
      </w:r>
    </w:p>
    <w:p w:rsidR="00000000" w:rsidRDefault="00326193">
      <w:pPr>
        <w:spacing w:before="120" w:after="280" w:afterAutospacing="1"/>
      </w:pPr>
      <w:r>
        <w:rPr>
          <w:lang w:val="vi-VN"/>
        </w:rPr>
        <w:t>2. Thông tư số 13/2012/TT-BVHTTDL ngày 10 tháng 12 năm 2012 của Bộ trưởng Bộ Văn hóa, Thể thao và Du lịch quy định điều kiện hoạt động của c</w:t>
      </w:r>
      <w:r>
        <w:rPr>
          <w:lang w:val="vi-VN"/>
        </w:rPr>
        <w:t>ơ sở thể thao tổ chức hoạt động bóng bàn hết hiệu lực thi hành kể từ ngày Thông tư này có hiệu lực.</w:t>
      </w:r>
    </w:p>
    <w:p w:rsidR="00000000" w:rsidRDefault="00326193">
      <w:pPr>
        <w:spacing w:before="120" w:after="280" w:afterAutospacing="1"/>
      </w:pPr>
      <w:r>
        <w:rPr>
          <w:lang w:val="vi-VN"/>
        </w:rPr>
        <w:t>Trong quá trình thực hiện, nếu phát sinh vướng mắc, đề nghị các cơ quan, tổ chức, cá nhân kịp thời phản ánh về Bộ Văn hóa, Thể thao và Du lịch để nghiên cứu</w:t>
      </w:r>
      <w:r>
        <w:rPr>
          <w:lang w:val="vi-VN"/>
        </w:rPr>
        <w:t xml:space="preserve"> giải quyết./</w:t>
      </w:r>
      <w:r>
        <w:t>.</w:t>
      </w:r>
    </w:p>
    <w:p w:rsidR="00000000" w:rsidRDefault="003261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193">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Chính phủ;</w:t>
            </w:r>
            <w:r>
              <w:rPr>
                <w:sz w:val="16"/>
                <w:lang w:val="vi-VN"/>
              </w:rPr>
              <w:br/>
              <w:t>- Các Phó Thủ tướng Chính phủ;</w:t>
            </w:r>
            <w:r>
              <w:rPr>
                <w:sz w:val="16"/>
                <w:lang w:val="vi-VN"/>
              </w:rPr>
              <w:br/>
              <w:t>- Văn phòng Trung ương Đảng;</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Tòa án Nhân dân tối cao;</w:t>
            </w:r>
            <w:r>
              <w:rPr>
                <w:sz w:val="16"/>
                <w:lang w:val="vi-VN"/>
              </w:rPr>
              <w:br/>
              <w:t xml:space="preserve">- Viện Kiểm sát </w:t>
            </w:r>
            <w:r>
              <w:rPr>
                <w:sz w:val="16"/>
                <w:lang w:val="vi-VN"/>
              </w:rPr>
              <w:t>Nhân dân tối cao;</w:t>
            </w:r>
            <w:r>
              <w:rPr>
                <w:sz w:val="16"/>
                <w:lang w:val="vi-VN"/>
              </w:rPr>
              <w:br/>
              <w:t>- Các Bộ, cơ quan ngang Bộ, cơ quan thuộc Chính phủ;</w:t>
            </w:r>
            <w:r>
              <w:rPr>
                <w:sz w:val="16"/>
                <w:lang w:val="vi-VN"/>
              </w:rPr>
              <w:br/>
              <w:t>- HĐND, UBND các tỉnh, thành phố trực thuộc TW;</w:t>
            </w:r>
            <w:r>
              <w:rPr>
                <w:sz w:val="16"/>
                <w:lang w:val="vi-VN"/>
              </w:rPr>
              <w:br/>
              <w:t xml:space="preserve">- Cơ quan Trung </w:t>
            </w:r>
            <w:r>
              <w:rPr>
                <w:sz w:val="16"/>
              </w:rPr>
              <w:t>ươ</w:t>
            </w:r>
            <w:r>
              <w:rPr>
                <w:sz w:val="16"/>
                <w:lang w:val="vi-VN"/>
              </w:rPr>
              <w:t>ng của các tổ chức chính trị - xã hội;</w:t>
            </w:r>
            <w:r>
              <w:rPr>
                <w:sz w:val="16"/>
                <w:lang w:val="vi-VN"/>
              </w:rPr>
              <w:br/>
              <w:t>- Cục kiểm tra văn bản QPPL - Bộ Tư pháp;</w:t>
            </w:r>
            <w:r>
              <w:rPr>
                <w:sz w:val="16"/>
                <w:lang w:val="vi-VN"/>
              </w:rPr>
              <w:br/>
              <w:t xml:space="preserve">- Công báo; </w:t>
            </w:r>
            <w:r>
              <w:rPr>
                <w:sz w:val="16"/>
              </w:rPr>
              <w:t>C</w:t>
            </w:r>
            <w:r>
              <w:rPr>
                <w:sz w:val="16"/>
                <w:lang w:val="vi-VN"/>
              </w:rPr>
              <w:t>ổng thông tin điện tử Chí</w:t>
            </w:r>
            <w:r>
              <w:rPr>
                <w:sz w:val="16"/>
                <w:lang w:val="vi-VN"/>
              </w:rPr>
              <w:t xml:space="preserve">nh phủ; Cơ </w:t>
            </w:r>
            <w:r>
              <w:rPr>
                <w:sz w:val="16"/>
              </w:rPr>
              <w:t>s</w:t>
            </w:r>
            <w:r>
              <w:rPr>
                <w:sz w:val="16"/>
                <w:lang w:val="vi-VN"/>
              </w:rPr>
              <w:t xml:space="preserve">ở dữ liệu quốc gia về pháp luật; </w:t>
            </w:r>
            <w:r>
              <w:rPr>
                <w:sz w:val="16"/>
              </w:rPr>
              <w:t>C</w:t>
            </w:r>
            <w:r>
              <w:rPr>
                <w:sz w:val="16"/>
                <w:lang w:val="vi-VN"/>
              </w:rPr>
              <w:t>ổng thông tin điện tử Bộ VHTTDL;</w:t>
            </w:r>
            <w:r>
              <w:rPr>
                <w:sz w:val="16"/>
                <w:lang w:val="vi-VN"/>
              </w:rPr>
              <w:br/>
              <w:t>- Bộ trưởng, các Thứ trưởng Bộ VHTTDL;</w:t>
            </w:r>
            <w:r>
              <w:rPr>
                <w:sz w:val="16"/>
                <w:lang w:val="vi-VN"/>
              </w:rPr>
              <w:br/>
              <w:t>- Các Tổng cục, Cục, Vụ, đơn vị trực thuộc Bộ VHTTDL;</w:t>
            </w:r>
            <w:r>
              <w:rPr>
                <w:sz w:val="16"/>
                <w:lang w:val="vi-VN"/>
              </w:rPr>
              <w:br/>
              <w:t>- Các Vụ, đơn vị trực thuộc Tổng cục TDTT;</w:t>
            </w:r>
            <w:r>
              <w:rPr>
                <w:sz w:val="16"/>
                <w:lang w:val="vi-VN"/>
              </w:rPr>
              <w:br/>
              <w:t>- Các Liên đoàn, Hiệp hội Thể thao quốc g</w:t>
            </w:r>
            <w:r>
              <w:rPr>
                <w:sz w:val="16"/>
                <w:lang w:val="vi-VN"/>
              </w:rPr>
              <w:t>ia;</w:t>
            </w:r>
            <w:r>
              <w:rPr>
                <w:sz w:val="16"/>
                <w:lang w:val="vi-VN"/>
              </w:rPr>
              <w:br/>
              <w:t>- Sở VHTTDL, Sở VHTT các tỉnh, thành phố trực thuộc TW;</w:t>
            </w:r>
            <w:r>
              <w:rPr>
                <w:sz w:val="16"/>
                <w:lang w:val="vi-VN"/>
              </w:rPr>
              <w:br/>
              <w:t>- Lưu: VT, TCTDTT (10), T (400).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b/>
                <w:bCs/>
              </w:rPr>
              <w:t>BỘ TRƯỞNG</w:t>
            </w:r>
            <w:r>
              <w:rPr>
                <w:b/>
                <w:bCs/>
              </w:rPr>
              <w:br/>
            </w:r>
            <w:r>
              <w:rPr>
                <w:b/>
                <w:bCs/>
              </w:rPr>
              <w:br/>
            </w:r>
            <w:r>
              <w:rPr>
                <w:b/>
                <w:bCs/>
              </w:rPr>
              <w:br/>
            </w:r>
            <w:r>
              <w:rPr>
                <w:b/>
                <w:bCs/>
              </w:rPr>
              <w:br/>
            </w:r>
            <w:r>
              <w:rPr>
                <w:b/>
                <w:bCs/>
              </w:rPr>
              <w:br/>
              <w:t>Nguyễn Ngọc Thiện</w:t>
            </w:r>
          </w:p>
        </w:tc>
      </w:tr>
    </w:tbl>
    <w:p w:rsidR="00000000" w:rsidRDefault="00326193">
      <w:pPr>
        <w:spacing w:before="120" w:after="280" w:afterAutospacing="1"/>
      </w:pPr>
      <w:r>
        <w:t> </w:t>
      </w:r>
    </w:p>
    <w:p w:rsidR="00000000" w:rsidRDefault="00326193">
      <w:pPr>
        <w:spacing w:before="120" w:after="280" w:afterAutospacing="1"/>
        <w:jc w:val="center"/>
      </w:pPr>
      <w:r>
        <w:rPr>
          <w:b/>
          <w:bCs/>
          <w:lang w:val="vi-VN"/>
        </w:rPr>
        <w:lastRenderedPageBreak/>
        <w:t>PHỤ LỤC</w:t>
      </w:r>
    </w:p>
    <w:p w:rsidR="00000000" w:rsidRDefault="00326193">
      <w:pPr>
        <w:spacing w:before="120" w:after="280" w:afterAutospacing="1"/>
        <w:jc w:val="center"/>
      </w:pPr>
      <w:r>
        <w:rPr>
          <w:i/>
          <w:iCs/>
          <w:lang w:val="vi-VN"/>
        </w:rPr>
        <w:t>(Ban hành theo Thông tư số:</w:t>
      </w:r>
      <w:r>
        <w:rPr>
          <w:i/>
          <w:iCs/>
        </w:rPr>
        <w:t xml:space="preserve"> 05</w:t>
      </w:r>
      <w:r>
        <w:rPr>
          <w:i/>
          <w:iCs/>
          <w:lang w:val="vi-VN"/>
        </w:rPr>
        <w:t>/2018/TT-BVHTTDL ngày</w:t>
      </w:r>
      <w:r>
        <w:rPr>
          <w:i/>
          <w:iCs/>
        </w:rPr>
        <w:t xml:space="preserve"> 22 t</w:t>
      </w:r>
      <w:r>
        <w:rPr>
          <w:i/>
          <w:iCs/>
          <w:lang w:val="vi-VN"/>
        </w:rPr>
        <w:t xml:space="preserve">háng </w:t>
      </w:r>
      <w:r>
        <w:rPr>
          <w:i/>
          <w:iCs/>
        </w:rPr>
        <w:t xml:space="preserve">01 </w:t>
      </w:r>
      <w:r>
        <w:rPr>
          <w:i/>
          <w:iCs/>
          <w:lang w:val="vi-VN"/>
        </w:rPr>
        <w:t>năm 2018 của Bộ trưởng Bộ Văn h</w:t>
      </w:r>
      <w:r>
        <w:rPr>
          <w:i/>
          <w:iCs/>
        </w:rPr>
        <w:t>ó</w:t>
      </w:r>
      <w:r>
        <w:rPr>
          <w:i/>
          <w:iCs/>
          <w:lang w:val="vi-VN"/>
        </w:rPr>
        <w:t>a, Thể thao và Du lịch)</w:t>
      </w:r>
    </w:p>
    <w:p w:rsidR="00000000" w:rsidRDefault="00326193">
      <w:pPr>
        <w:spacing w:before="120" w:after="280" w:afterAutospacing="1"/>
        <w:jc w:val="center"/>
      </w:pPr>
      <w:bookmarkStart w:id="13" w:name="chuong_pl_name"/>
      <w:r>
        <w:rPr>
          <w:b/>
          <w:bCs/>
          <w:lang w:val="vi-VN"/>
        </w:rPr>
        <w:t>Mẫu giấy chứng nhận tập huấn chuyên môn cho người hướng dẫn tập luyện môn Bóng bàn</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
        <w:gridCol w:w="713"/>
        <w:gridCol w:w="135"/>
        <w:gridCol w:w="316"/>
        <w:gridCol w:w="1879"/>
        <w:gridCol w:w="6048"/>
        <w:gridCol w:w="209"/>
      </w:tblGrid>
      <w:tr w:rsidR="00C066BB" w:rsidTr="00C066BB">
        <w:tc>
          <w:tcPr>
            <w:tcW w:w="3268" w:type="dxa"/>
            <w:gridSpan w:val="5"/>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TÊN CƠ QUAN, TỔ CHỨC</w:t>
            </w:r>
            <w:r>
              <w:br/>
            </w:r>
            <w:r>
              <w:rPr>
                <w:lang w:val="vi-VN"/>
              </w:rPr>
              <w:t>CHỦ QUẢN (1)</w:t>
            </w:r>
            <w:r>
              <w:br/>
            </w:r>
            <w:r>
              <w:rPr>
                <w:b/>
                <w:bCs/>
                <w:lang w:val="vi-VN"/>
              </w:rPr>
              <w:t xml:space="preserve">TÊN CƠ QUAN, TỔ CHỨC </w:t>
            </w:r>
            <w:r>
              <w:rPr>
                <w:lang w:val="vi-VN"/>
              </w:rPr>
              <w:t>(2)</w:t>
            </w:r>
            <w:r>
              <w:rPr>
                <w:lang w:val="vi-VN"/>
              </w:rPr>
              <w:br/>
            </w:r>
            <w:r>
              <w:rPr>
                <w:b/>
                <w:bCs/>
                <w:lang w:val="vi-VN"/>
              </w:rPr>
              <w:t>-------</w:t>
            </w:r>
          </w:p>
        </w:tc>
        <w:tc>
          <w:tcPr>
            <w:tcW w:w="5600" w:type="dxa"/>
            <w:gridSpan w:val="2"/>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326193">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066BB" w:rsidTr="00C066BB">
        <w:tblPrEx>
          <w:tblBorders>
            <w:top w:val="none" w:sz="0" w:space="0" w:color="auto"/>
            <w:bottom w:val="none" w:sz="0" w:space="0" w:color="auto"/>
            <w:insideH w:val="none" w:sz="0" w:space="0" w:color="auto"/>
            <w:insideV w:val="none" w:sz="0" w:space="0" w:color="auto"/>
          </w:tblBorders>
        </w:tblPrEx>
        <w:tc>
          <w:tcPr>
            <w:tcW w:w="3268" w:type="dxa"/>
            <w:gridSpan w:val="5"/>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 xml:space="preserve">Số: </w:t>
            </w:r>
            <w:r>
              <w:t>   </w:t>
            </w:r>
            <w:r>
              <w:rPr>
                <w:lang w:val="vi-VN"/>
              </w:rPr>
              <w:t>/GCN</w:t>
            </w:r>
            <w:r>
              <w:t>….</w:t>
            </w:r>
            <w:r>
              <w:rPr>
                <w:lang w:val="vi-VN"/>
              </w:rPr>
              <w:t>(3)</w:t>
            </w:r>
          </w:p>
        </w:tc>
        <w:tc>
          <w:tcPr>
            <w:tcW w:w="5600"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326193">
            <w:pPr>
              <w:jc w:val="center"/>
            </w:pPr>
            <w:r>
              <w:rPr>
                <w:i/>
                <w:iCs/>
                <w:lang w:val="vi-VN"/>
              </w:rPr>
              <w:t>...(4)..., ngày... tháng... năm 20...</w:t>
            </w:r>
          </w:p>
        </w:tc>
      </w:tr>
      <w:tr w:rsidR="00C066BB" w:rsidTr="00C066BB">
        <w:tblPrEx>
          <w:tblBorders>
            <w:top w:val="none" w:sz="0" w:space="0" w:color="auto"/>
            <w:bottom w:val="none" w:sz="0" w:space="0" w:color="auto"/>
            <w:insideH w:val="none" w:sz="0" w:space="0" w:color="auto"/>
            <w:insideV w:val="none" w:sz="0" w:space="0" w:color="auto"/>
          </w:tblBorders>
        </w:tblPrEx>
        <w:tc>
          <w:tcPr>
            <w:tcW w:w="3268" w:type="dxa"/>
            <w:gridSpan w:val="5"/>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 </w:t>
            </w:r>
          </w:p>
        </w:tc>
        <w:tc>
          <w:tcPr>
            <w:tcW w:w="5600"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326193">
            <w:r>
              <w:t> </w:t>
            </w:r>
          </w:p>
        </w:tc>
      </w:tr>
      <w:tr w:rsidR="00C066BB" w:rsidTr="00C066BB">
        <w:tblPrEx>
          <w:tblBorders>
            <w:top w:val="none" w:sz="0" w:space="0" w:color="auto"/>
            <w:bottom w:val="none" w:sz="0" w:space="0" w:color="auto"/>
            <w:insideH w:val="none" w:sz="0" w:space="0" w:color="auto"/>
            <w:insideV w:val="none" w:sz="0" w:space="0" w:color="auto"/>
          </w:tblBorders>
        </w:tblPrEx>
        <w:tc>
          <w:tcPr>
            <w:tcW w:w="273"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 </w:t>
            </w:r>
          </w:p>
        </w:tc>
        <w:tc>
          <w:tcPr>
            <w:tcW w:w="1135" w:type="dxa"/>
            <w:gridSpan w:val="2"/>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326193">
            <w:pPr>
              <w:spacing w:before="120"/>
              <w:jc w:val="center"/>
            </w:pPr>
            <w:r>
              <w:t>Ảnh 4x6</w:t>
            </w:r>
          </w:p>
        </w:tc>
        <w:tc>
          <w:tcPr>
            <w:tcW w:w="316" w:type="dxa"/>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 </w:t>
            </w:r>
          </w:p>
        </w:tc>
        <w:tc>
          <w:tcPr>
            <w:tcW w:w="7144" w:type="dxa"/>
            <w:gridSpan w:val="3"/>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326193">
            <w:pPr>
              <w:spacing w:before="120" w:after="280" w:afterAutospacing="1"/>
              <w:jc w:val="center"/>
            </w:pPr>
            <w:r>
              <w:rPr>
                <w:b/>
                <w:bCs/>
                <w:lang w:val="vi-VN"/>
              </w:rPr>
              <w:t>GIẤY CHỨNG NHẬN</w:t>
            </w:r>
          </w:p>
          <w:p w:rsidR="00000000" w:rsidRDefault="00326193">
            <w:pPr>
              <w:spacing w:before="120" w:after="280" w:afterAutospacing="1"/>
              <w:jc w:val="center"/>
            </w:pPr>
            <w:r>
              <w:rPr>
                <w:b/>
                <w:bCs/>
                <w:lang w:val="vi-VN"/>
              </w:rPr>
              <w:t xml:space="preserve">Tập huấn chuyên môn cho người hướng dẫn tập luyện môn </w:t>
            </w:r>
            <w:r>
              <w:rPr>
                <w:b/>
                <w:bCs/>
              </w:rPr>
              <w:t>Bóng bàn</w:t>
            </w:r>
          </w:p>
          <w:p w:rsidR="00000000" w:rsidRDefault="00326193">
            <w:pPr>
              <w:spacing w:before="120" w:after="280" w:afterAutospacing="1"/>
            </w:pPr>
            <w:r>
              <w:t>……………………………………….</w:t>
            </w:r>
            <w:r>
              <w:rPr>
                <w:lang w:val="vi-VN"/>
              </w:rPr>
              <w:t>(2)</w:t>
            </w:r>
            <w:r>
              <w:t>……………………………..</w:t>
            </w:r>
            <w:r>
              <w:rPr>
                <w:lang w:val="vi-VN"/>
              </w:rPr>
              <w:t>chứng nhận:</w:t>
            </w:r>
          </w:p>
          <w:p w:rsidR="00000000" w:rsidRDefault="00326193">
            <w:pPr>
              <w:spacing w:before="120"/>
            </w:pPr>
            <w:r>
              <w:rPr>
                <w:lang w:val="vi-VN"/>
              </w:rPr>
              <w:t>Ông (Bà)</w:t>
            </w:r>
            <w:r>
              <w:t xml:space="preserve"> …………………………………………………………………………….</w:t>
            </w:r>
          </w:p>
        </w:tc>
      </w:tr>
      <w:tr w:rsidR="00C066BB" w:rsidTr="00C066BB">
        <w:tblPrEx>
          <w:tblBorders>
            <w:top w:val="none" w:sz="0" w:space="0" w:color="auto"/>
            <w:bottom w:val="none" w:sz="0" w:space="0" w:color="auto"/>
            <w:insideH w:val="none" w:sz="0" w:space="0" w:color="auto"/>
            <w:insideV w:val="none" w:sz="0" w:space="0" w:color="auto"/>
          </w:tblBorders>
        </w:tblPrEx>
        <w:tc>
          <w:tcPr>
            <w:tcW w:w="1724" w:type="dxa"/>
            <w:gridSpan w:val="4"/>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 </w:t>
            </w:r>
          </w:p>
        </w:tc>
        <w:tc>
          <w:tcPr>
            <w:tcW w:w="7144" w:type="dxa"/>
            <w:gridSpan w:val="3"/>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326193">
            <w:pPr>
              <w:spacing w:before="120" w:after="280" w:afterAutospacing="1"/>
            </w:pPr>
            <w:r>
              <w:rPr>
                <w:lang w:val="vi-VN"/>
              </w:rPr>
              <w:t>Sinh n</w:t>
            </w:r>
            <w:r>
              <w:rPr>
                <w:lang w:val="vi-VN"/>
              </w:rPr>
              <w:t xml:space="preserve">gày </w:t>
            </w:r>
            <w:r>
              <w:t xml:space="preserve">…………… </w:t>
            </w:r>
            <w:r>
              <w:rPr>
                <w:lang w:val="vi-VN"/>
              </w:rPr>
              <w:t xml:space="preserve">tháng </w:t>
            </w:r>
            <w:r>
              <w:t xml:space="preserve">……… </w:t>
            </w:r>
            <w:r>
              <w:rPr>
                <w:lang w:val="vi-VN"/>
              </w:rPr>
              <w:t>năm</w:t>
            </w:r>
            <w:r>
              <w:t xml:space="preserve"> ………………………………………</w:t>
            </w:r>
          </w:p>
          <w:p w:rsidR="00000000" w:rsidRDefault="00326193">
            <w:pPr>
              <w:spacing w:before="120" w:after="280" w:afterAutospacing="1"/>
            </w:pPr>
            <w:r>
              <w:rPr>
                <w:lang w:val="vi-VN"/>
              </w:rPr>
              <w:t>Số CMND/Thẻ căn cước công dân</w:t>
            </w:r>
            <w:r>
              <w:t xml:space="preserve"> ……………………………………………..</w:t>
            </w:r>
          </w:p>
          <w:p w:rsidR="00000000" w:rsidRDefault="00326193">
            <w:pPr>
              <w:spacing w:before="120" w:after="280" w:afterAutospacing="1"/>
            </w:pPr>
            <w:r>
              <w:t>………………………………………………………………………………………</w:t>
            </w:r>
          </w:p>
          <w:p w:rsidR="00000000" w:rsidRDefault="00326193">
            <w:pPr>
              <w:spacing w:before="120" w:after="280" w:afterAutospacing="1"/>
            </w:pPr>
            <w:r>
              <w:rPr>
                <w:lang w:val="vi-VN"/>
              </w:rPr>
              <w:t xml:space="preserve">Địa chỉ thường trú: </w:t>
            </w:r>
            <w:r>
              <w:t>………………………………………………………………..</w:t>
            </w:r>
          </w:p>
          <w:p w:rsidR="00000000" w:rsidRDefault="00326193">
            <w:pPr>
              <w:spacing w:before="120" w:after="280" w:afterAutospacing="1"/>
            </w:pPr>
            <w:r>
              <w:t>………………………………………………………………………………………</w:t>
            </w:r>
          </w:p>
          <w:p w:rsidR="00000000" w:rsidRDefault="00326193">
            <w:pPr>
              <w:spacing w:before="120" w:after="280" w:afterAutospacing="1"/>
            </w:pPr>
            <w:r>
              <w:rPr>
                <w:lang w:val="vi-VN"/>
              </w:rPr>
              <w:t>Đã hoàn thành chương trình tập huấn kiến thức nghiệ</w:t>
            </w:r>
            <w:r>
              <w:rPr>
                <w:lang w:val="vi-VN"/>
              </w:rPr>
              <w:t xml:space="preserve">p vụ hướng dẫn tập luyện môn </w:t>
            </w:r>
            <w:r>
              <w:t>Bóng bàn.</w:t>
            </w:r>
          </w:p>
          <w:p w:rsidR="00000000" w:rsidRDefault="00326193">
            <w:pPr>
              <w:spacing w:before="120" w:after="280" w:afterAutospacing="1"/>
            </w:pPr>
            <w:r>
              <w:rPr>
                <w:lang w:val="vi-VN"/>
              </w:rPr>
              <w:t xml:space="preserve">Thời gian: Từ ngày </w:t>
            </w:r>
            <w:r>
              <w:t xml:space="preserve">……. </w:t>
            </w:r>
            <w:r>
              <w:rPr>
                <w:lang w:val="vi-VN"/>
              </w:rPr>
              <w:t xml:space="preserve">đến ngày </w:t>
            </w:r>
            <w:r>
              <w:t xml:space="preserve">….. </w:t>
            </w:r>
            <w:r>
              <w:rPr>
                <w:lang w:val="vi-VN"/>
              </w:rPr>
              <w:t xml:space="preserve">tháng </w:t>
            </w:r>
            <w:r>
              <w:t xml:space="preserve">…… </w:t>
            </w:r>
            <w:r>
              <w:rPr>
                <w:lang w:val="vi-VN"/>
              </w:rPr>
              <w:t>năm</w:t>
            </w:r>
            <w:r>
              <w:t xml:space="preserve"> ……………………</w:t>
            </w:r>
          </w:p>
          <w:p w:rsidR="00000000" w:rsidRDefault="00326193">
            <w:pPr>
              <w:spacing w:before="120" w:after="280" w:afterAutospacing="1"/>
            </w:pPr>
            <w:r>
              <w:rPr>
                <w:lang w:val="vi-VN"/>
              </w:rPr>
              <w:t>Tại:</w:t>
            </w:r>
            <w:r>
              <w:t xml:space="preserve"> …………………………………………………………………………………</w:t>
            </w:r>
          </w:p>
          <w:p w:rsidR="00000000" w:rsidRDefault="00326193">
            <w:pPr>
              <w:spacing w:before="120"/>
            </w:pPr>
            <w:r>
              <w:t> </w:t>
            </w:r>
          </w:p>
        </w:tc>
      </w:tr>
      <w:tr w:rsidR="00C066BB" w:rsidTr="00C066BB">
        <w:tblPrEx>
          <w:tblBorders>
            <w:top w:val="none" w:sz="0" w:space="0" w:color="auto"/>
            <w:bottom w:val="none" w:sz="0" w:space="0" w:color="auto"/>
            <w:insideH w:val="none" w:sz="0" w:space="0" w:color="auto"/>
            <w:insideV w:val="none" w:sz="0" w:space="0" w:color="auto"/>
          </w:tblBorders>
        </w:tblPrEx>
        <w:tc>
          <w:tcPr>
            <w:tcW w:w="3268" w:type="dxa"/>
            <w:gridSpan w:val="5"/>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000000" w:rsidRDefault="00326193">
            <w:pPr>
              <w:spacing w:before="120"/>
              <w:jc w:val="center"/>
            </w:pPr>
            <w:r>
              <w:rPr>
                <w:lang w:val="vi-VN"/>
              </w:rPr>
              <w:t> </w:t>
            </w:r>
          </w:p>
        </w:tc>
        <w:tc>
          <w:tcPr>
            <w:tcW w:w="56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26193">
            <w:pPr>
              <w:spacing w:before="120" w:after="280" w:afterAutospacing="1"/>
              <w:jc w:val="center"/>
            </w:pPr>
            <w:r>
              <w:rPr>
                <w:b/>
                <w:bCs/>
                <w:lang w:val="vi-VN"/>
              </w:rPr>
              <w:t>CƠ QUAN C</w:t>
            </w:r>
            <w:r>
              <w:rPr>
                <w:b/>
                <w:bCs/>
              </w:rPr>
              <w:t>Ấ</w:t>
            </w:r>
            <w:r>
              <w:rPr>
                <w:b/>
                <w:bCs/>
                <w:lang w:val="vi-VN"/>
              </w:rPr>
              <w:t>P GIẤY CH</w:t>
            </w:r>
            <w:r>
              <w:rPr>
                <w:b/>
                <w:bCs/>
              </w:rPr>
              <w:t>Ứ</w:t>
            </w:r>
            <w:r>
              <w:rPr>
                <w:b/>
                <w:bCs/>
                <w:lang w:val="vi-VN"/>
              </w:rPr>
              <w:t>NG NHẬN</w:t>
            </w:r>
            <w:r>
              <w:rPr>
                <w:b/>
                <w:bCs/>
              </w:rPr>
              <w:br/>
            </w:r>
            <w:r>
              <w:rPr>
                <w:i/>
                <w:iCs/>
                <w:lang w:val="vi-VN"/>
              </w:rPr>
              <w:t>(Ký tên, đóng dấu, ghi rõ họ tên, chức vụ)</w:t>
            </w:r>
          </w:p>
          <w:p w:rsidR="00000000" w:rsidRDefault="00326193">
            <w:pPr>
              <w:spacing w:before="120" w:after="280" w:afterAutospacing="1"/>
              <w:jc w:val="center"/>
            </w:pPr>
            <w:r>
              <w:lastRenderedPageBreak/>
              <w:t> </w:t>
            </w:r>
          </w:p>
          <w:p w:rsidR="00000000" w:rsidRDefault="00326193">
            <w:r>
              <w:t> </w:t>
            </w:r>
          </w:p>
        </w:tc>
      </w:tr>
      <w:tr w:rsidR="00C066BB" w:rsidTr="00C066BB">
        <w:tblPrEx>
          <w:tblBorders>
            <w:top w:val="none" w:sz="0" w:space="0" w:color="auto"/>
            <w:bottom w:val="none" w:sz="0" w:space="0" w:color="auto"/>
            <w:insideH w:val="none" w:sz="0" w:space="0" w:color="auto"/>
            <w:insideV w:val="none" w:sz="0" w:space="0" w:color="auto"/>
          </w:tblBorders>
        </w:tblPrEx>
        <w:tc>
          <w:tcPr>
            <w:tcW w:w="27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r>
              <w:lastRenderedPageBreak/>
              <w:t> </w:t>
            </w:r>
          </w:p>
        </w:tc>
        <w:tc>
          <w:tcPr>
            <w:tcW w:w="100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r>
              <w:t> </w:t>
            </w:r>
          </w:p>
        </w:tc>
        <w:tc>
          <w:tcPr>
            <w:tcW w:w="448"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r>
              <w:t> </w:t>
            </w:r>
          </w:p>
        </w:tc>
        <w:tc>
          <w:tcPr>
            <w:tcW w:w="15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r>
              <w:t> </w:t>
            </w:r>
          </w:p>
        </w:tc>
        <w:tc>
          <w:tcPr>
            <w:tcW w:w="545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r>
              <w:t> </w:t>
            </w:r>
          </w:p>
        </w:tc>
        <w:tc>
          <w:tcPr>
            <w:tcW w:w="14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r>
              <w:t> </w:t>
            </w:r>
          </w:p>
        </w:tc>
      </w:tr>
      <w:tr w:rsidR="00000000">
        <w:tblPrEx>
          <w:tblBorders>
            <w:top w:val="none" w:sz="0" w:space="0" w:color="auto"/>
            <w:bottom w:val="none" w:sz="0" w:space="0" w:color="auto"/>
            <w:insideH w:val="none" w:sz="0" w:space="0" w:color="auto"/>
            <w:insideV w:val="none" w:sz="0" w:space="0" w:color="auto"/>
          </w:tblBorders>
        </w:tblPrEx>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tc>
        <w:tc>
          <w:tcPr>
            <w:tcW w:w="1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tc>
        <w:tc>
          <w:tcPr>
            <w:tcW w:w="54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6193"/>
        </w:tc>
      </w:tr>
    </w:tbl>
    <w:p w:rsidR="00000000" w:rsidRDefault="00326193">
      <w:pPr>
        <w:spacing w:before="120" w:after="280" w:afterAutospacing="1"/>
      </w:pPr>
      <w:r>
        <w:rPr>
          <w:b/>
          <w:bCs/>
          <w:i/>
          <w:iCs/>
          <w:lang w:val="vi-VN"/>
        </w:rPr>
        <w:t>Ghi chú:</w:t>
      </w:r>
    </w:p>
    <w:p w:rsidR="00000000" w:rsidRDefault="00326193">
      <w:pPr>
        <w:spacing w:before="120" w:after="280" w:afterAutospacing="1"/>
      </w:pPr>
      <w:r>
        <w:rPr>
          <w:lang w:val="vi-VN"/>
        </w:rPr>
        <w:t xml:space="preserve">(1) Tên cơ quan, tổ chức chủ quản trực tiếp </w:t>
      </w:r>
      <w:r>
        <w:rPr>
          <w:i/>
          <w:iCs/>
          <w:lang w:val="vi-VN"/>
        </w:rPr>
        <w:t>(nếu có)</w:t>
      </w:r>
      <w:r>
        <w:rPr>
          <w:lang w:val="vi-VN"/>
        </w:rPr>
        <w:t>.</w:t>
      </w:r>
    </w:p>
    <w:p w:rsidR="00000000" w:rsidRDefault="00326193">
      <w:pPr>
        <w:spacing w:before="120" w:after="280" w:afterAutospacing="1"/>
      </w:pPr>
      <w:r>
        <w:rPr>
          <w:lang w:val="vi-VN"/>
        </w:rPr>
        <w:t>(2) Tên cơ quan, tổ chức cấp giấy chứng nhận.</w:t>
      </w:r>
    </w:p>
    <w:p w:rsidR="00000000" w:rsidRDefault="00326193">
      <w:pPr>
        <w:spacing w:before="120" w:after="280" w:afterAutospacing="1"/>
      </w:pPr>
      <w:r>
        <w:rPr>
          <w:lang w:val="vi-VN"/>
        </w:rPr>
        <w:t>(3) Chữ viết tắt tên cơ quan, tổ chức cấp giấy chứng n</w:t>
      </w:r>
      <w:r>
        <w:rPr>
          <w:lang w:val="vi-VN"/>
        </w:rPr>
        <w:t>hận.</w:t>
      </w:r>
    </w:p>
    <w:p w:rsidR="00000000" w:rsidRDefault="00326193">
      <w:pPr>
        <w:spacing w:before="120" w:after="280" w:afterAutospacing="1"/>
      </w:pPr>
      <w:r>
        <w:rPr>
          <w:lang w:val="vi-VN"/>
        </w:rPr>
        <w:t>(4) Địa danh.</w:t>
      </w:r>
    </w:p>
    <w:p w:rsidR="00326193" w:rsidRDefault="00326193">
      <w:pPr>
        <w:spacing w:before="120" w:after="280" w:afterAutospacing="1"/>
      </w:pPr>
      <w:r>
        <w:t> </w:t>
      </w:r>
    </w:p>
    <w:sectPr w:rsidR="003261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BB"/>
    <w:rsid w:val="00326193"/>
    <w:rsid w:val="00C066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2022-09-26T03:12:00Z</dcterms:created>
  <dcterms:modified xsi:type="dcterms:W3CDTF">2022-09-26T03:12:00Z</dcterms:modified>
</cp:coreProperties>
</file>