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EE8B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61EF28" w14:textId="77777777" w:rsidR="00000000" w:rsidRDefault="00000000">
            <w:pPr>
              <w:spacing w:before="120"/>
              <w:jc w:val="center"/>
            </w:pPr>
            <w:r>
              <w:rPr>
                <w:b/>
                <w:bCs/>
                <w:lang w:val="vi-VN"/>
              </w:rPr>
              <w:t>BỘ KHOA HỌC VÀ</w:t>
            </w:r>
            <w:r>
              <w:rPr>
                <w:b/>
                <w:bCs/>
                <w:lang w:val="en-GB"/>
              </w:rPr>
              <w:br/>
            </w:r>
            <w:r>
              <w:rPr>
                <w:b/>
                <w:bCs/>
                <w:lang w:val="vi-VN"/>
              </w:rPr>
              <w:t xml:space="preserve">CÔNG NGHỆ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0948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3706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F8D1D" w14:textId="77777777" w:rsidR="00000000" w:rsidRDefault="00000000">
            <w:pPr>
              <w:spacing w:before="120"/>
              <w:jc w:val="center"/>
            </w:pPr>
            <w:r>
              <w:rPr>
                <w:lang w:val="vi-VN"/>
              </w:rPr>
              <w:t>Số: 01/2022/TT-BKHCN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53B0C" w14:textId="77777777" w:rsidR="00000000" w:rsidRDefault="00000000">
            <w:pPr>
              <w:spacing w:before="120"/>
              <w:jc w:val="right"/>
            </w:pPr>
            <w:r>
              <w:rPr>
                <w:i/>
                <w:iCs/>
                <w:lang w:val="vi-VN"/>
              </w:rPr>
              <w:t>Hà Nội, ngày 16 tháng 02 năm 2022</w:t>
            </w:r>
          </w:p>
        </w:tc>
      </w:tr>
    </w:tbl>
    <w:p w14:paraId="1612EFC6" w14:textId="77777777" w:rsidR="00000000" w:rsidRDefault="00000000">
      <w:pPr>
        <w:spacing w:before="120" w:after="280" w:afterAutospacing="1"/>
      </w:pPr>
      <w:r>
        <w:rPr>
          <w:lang w:val="vi-VN"/>
        </w:rPr>
        <w:t> </w:t>
      </w:r>
    </w:p>
    <w:p w14:paraId="6F8541B0" w14:textId="77777777" w:rsidR="00000000" w:rsidRDefault="00000000">
      <w:pPr>
        <w:spacing w:before="120" w:after="280" w:afterAutospacing="1"/>
        <w:jc w:val="center"/>
      </w:pPr>
      <w:bookmarkStart w:id="0" w:name="loai_1"/>
      <w:r>
        <w:rPr>
          <w:b/>
          <w:bCs/>
          <w:lang w:val="vi-VN"/>
        </w:rPr>
        <w:t>THÔNG TƯ</w:t>
      </w:r>
      <w:bookmarkEnd w:id="0"/>
    </w:p>
    <w:p w14:paraId="6635F712" w14:textId="77777777" w:rsidR="00000000" w:rsidRDefault="00000000">
      <w:pPr>
        <w:spacing w:before="120" w:after="280" w:afterAutospacing="1"/>
        <w:jc w:val="center"/>
      </w:pPr>
      <w:bookmarkStart w:id="1" w:name="loai_1_name"/>
      <w:r>
        <w:rPr>
          <w:lang w:val="vi-VN"/>
        </w:rPr>
        <w:t>SỬA ĐỔI, BỔ SUNG MỘT SỐ ĐIỀU THÔNG TƯ SỐ 07/2018/TT-BKHCN NGÀY 06 THÁNG 6 NĂM 2018 VÀ THÔNG TƯ SỐ 08/2019/TT-BKHCN NGÀY 25 THÁNG 9 NĂM 2019 CỦA BỘ TRƯỞNG BỘ KHOA HỌC VÀ CÔNG NGHỆ</w:t>
      </w:r>
      <w:bookmarkEnd w:id="1"/>
    </w:p>
    <w:p w14:paraId="3F544A60" w14:textId="77777777" w:rsidR="00000000" w:rsidRDefault="00000000">
      <w:pPr>
        <w:spacing w:before="120" w:after="280" w:afterAutospacing="1"/>
      </w:pPr>
      <w:r>
        <w:rPr>
          <w:i/>
          <w:iCs/>
          <w:lang w:val="vi-VN"/>
        </w:rPr>
        <w:t>Căn cứ Luật Tiêu chuẩn và Quy chuẩn kỹ thuật ngày 29 tháng 6 năm 2006;</w:t>
      </w:r>
    </w:p>
    <w:p w14:paraId="1FB620BD" w14:textId="77777777" w:rsidR="00000000" w:rsidRDefault="00000000">
      <w:pPr>
        <w:spacing w:before="120" w:after="280" w:afterAutospacing="1"/>
      </w:pPr>
      <w:r>
        <w:rPr>
          <w:i/>
          <w:iCs/>
          <w:lang w:val="vi-VN"/>
        </w:rPr>
        <w:t>Căn cứ Nghị quyết số 32/2021/QH15 ngày 12 tháng 11 năm 2021 của Quốc hội về kế hoạch phát triển kinh tế - xã hội năm 2022;</w:t>
      </w:r>
    </w:p>
    <w:p w14:paraId="2912C0AA" w14:textId="77777777" w:rsidR="00000000" w:rsidRDefault="00000000">
      <w:pPr>
        <w:spacing w:before="120" w:after="280" w:afterAutospacing="1"/>
      </w:pPr>
      <w:r>
        <w:rPr>
          <w:i/>
          <w:iCs/>
          <w:lang w:val="vi-VN"/>
        </w:rP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về việc sửa đổi, bổ sung một số điều của Nghị định số 127/2007/NĐ-CP ngày 01 tháng 8 năm 2007 của Chính phủ quy định chi tiết thi hành một số điều của Luật Tiêu chuẩn và Quy chuẩn kỹ thuật;</w:t>
      </w:r>
    </w:p>
    <w:p w14:paraId="4F75F09B" w14:textId="77777777" w:rsidR="00000000" w:rsidRDefault="00000000">
      <w:pPr>
        <w:spacing w:before="120" w:after="280" w:afterAutospacing="1"/>
      </w:pPr>
      <w:r>
        <w:rPr>
          <w:i/>
          <w:iCs/>
          <w:lang w:val="vi-VN"/>
        </w:rPr>
        <w:t>Căn cứ Nghị định số 95/2017/NĐ-CP ngày 16 tháng 8 năm 2017 của Chính phủ quy định chức năng, nhiệm vụ, quyền hạn và cơ cấu tổ chức của Bộ Khoa học và Công nghệ;</w:t>
      </w:r>
    </w:p>
    <w:p w14:paraId="7A9C42A5" w14:textId="77777777" w:rsidR="00000000" w:rsidRDefault="00000000">
      <w:pPr>
        <w:spacing w:before="120" w:after="280" w:afterAutospacing="1"/>
      </w:pPr>
      <w:r>
        <w:rPr>
          <w:i/>
          <w:iCs/>
          <w:lang w:val="vi-VN"/>
        </w:rPr>
        <w:t>Thực hiện Nghị quyết số 86/NQ-CP ngày 06 tháng 8 năm 2021 của Chính phủ về các giải pháp cấp bách phòng, chống dịch bệnh COVID-19 để thực hiện Nghị quyết số 30/2021/QH15 ngày 28 tháng 7 năm 2021 của Quốc hội khóa XV;</w:t>
      </w:r>
    </w:p>
    <w:p w14:paraId="57B5BA10" w14:textId="77777777" w:rsidR="00000000" w:rsidRDefault="00000000">
      <w:pPr>
        <w:spacing w:before="120" w:after="280" w:afterAutospacing="1"/>
      </w:pPr>
      <w:r>
        <w:rPr>
          <w:i/>
          <w:iCs/>
          <w:lang w:val="vi-VN"/>
        </w:rPr>
        <w:t>Theo đề nghị của Tổng cục trưởng Tổng cục Tiêu chuẩn Đo lường Chất lượng và Vụ trưởng Vụ Pháp chế;</w:t>
      </w:r>
    </w:p>
    <w:p w14:paraId="71AFD70B" w14:textId="77777777" w:rsidR="00000000" w:rsidRDefault="00000000">
      <w:pPr>
        <w:spacing w:before="120" w:after="280" w:afterAutospacing="1"/>
      </w:pPr>
      <w:r>
        <w:rPr>
          <w:i/>
          <w:iCs/>
          <w:lang w:val="vi-VN"/>
        </w:rPr>
        <w:t>Bộ trưởng Bộ Khoa học và Công nghệ ban hành Thông tư Sửa đổi, bổ sung một số điều Thông tư số 07/2018/TT-BKHCN ngày 06 tháng 6 năm 2018 và Thông tư số 08/2019/TT-BKHCN ngày 25 tháng 9 năm 2019 của Bộ trưởng Bộ Khoa học và Công nghệ.</w:t>
      </w:r>
    </w:p>
    <w:p w14:paraId="01D9BC08" w14:textId="77777777" w:rsidR="00000000" w:rsidRDefault="00000000">
      <w:pPr>
        <w:spacing w:before="120" w:after="280" w:afterAutospacing="1"/>
      </w:pPr>
      <w:bookmarkStart w:id="2" w:name="dieu_1"/>
      <w:r>
        <w:rPr>
          <w:b/>
          <w:bCs/>
          <w:lang w:val="vi-VN"/>
        </w:rPr>
        <w:t>Điều 1</w:t>
      </w:r>
      <w:bookmarkEnd w:id="2"/>
      <w:r>
        <w:rPr>
          <w:b/>
          <w:bCs/>
          <w:lang w:val="vi-VN"/>
        </w:rPr>
        <w:t>.</w:t>
      </w:r>
      <w:r>
        <w:rPr>
          <w:lang w:val="vi-VN"/>
        </w:rPr>
        <w:t xml:space="preserve"> </w:t>
      </w:r>
      <w:bookmarkStart w:id="3" w:name="dieu_1_name"/>
      <w:r>
        <w:rPr>
          <w:lang w:val="vi-VN"/>
        </w:rPr>
        <w:t>Sửa đổi, bổ sung</w:t>
      </w:r>
      <w:bookmarkEnd w:id="3"/>
      <w:r>
        <w:rPr>
          <w:lang w:val="vi-VN"/>
        </w:rPr>
        <w:t xml:space="preserve"> </w:t>
      </w:r>
      <w:bookmarkStart w:id="4" w:name="dc_1"/>
      <w:r>
        <w:rPr>
          <w:lang w:val="vi-VN"/>
        </w:rPr>
        <w:t>khoản 3 Điều 4 Thông tư số 07/2018/TT-BKHCN</w:t>
      </w:r>
      <w:bookmarkEnd w:id="4"/>
      <w:r>
        <w:rPr>
          <w:lang w:val="vi-VN"/>
        </w:rPr>
        <w:t xml:space="preserve"> </w:t>
      </w:r>
      <w:bookmarkStart w:id="5" w:name="dieu_1_name_name"/>
      <w:r>
        <w:rPr>
          <w:lang w:val="vi-VN"/>
        </w:rPr>
        <w:t>ngày 06 tháng 6 năm 2018 của Bộ trưởng Bộ Khoa học và Công nghệ ban hành Sửa đổi 1:2018 QCVN 9:2012/BKHCN Quy chuẩn kỹ thuật quốc gia về tương thích điện từ đối với thiết bị điện và điện tử gia dụng và các mục đích tương tự như sau:</w:t>
      </w:r>
      <w:bookmarkEnd w:id="5"/>
    </w:p>
    <w:p w14:paraId="190F3C46" w14:textId="77777777" w:rsidR="00000000" w:rsidRDefault="00000000">
      <w:pPr>
        <w:spacing w:before="120" w:after="280" w:afterAutospacing="1"/>
      </w:pPr>
      <w:r>
        <w:rPr>
          <w:lang w:val="vi-VN"/>
        </w:rPr>
        <w:t>“3. Thiết bị điện và điện tử đã được sản xuất, kinh doanh, nhập khẩu trước thời điểm tương ứng quy định tại Điều 2 Thông tư này được tiếp tục lưu thông trên thị trường nhưng không quá 06 tháng (sáu tháng) kể từ thời điểm quy định tại Điều 2 Thông tư này.</w:t>
      </w:r>
    </w:p>
    <w:p w14:paraId="78881A34" w14:textId="77777777" w:rsidR="00000000" w:rsidRDefault="00000000">
      <w:pPr>
        <w:spacing w:before="120" w:after="280" w:afterAutospacing="1"/>
      </w:pPr>
      <w:r>
        <w:rPr>
          <w:lang w:val="vi-VN"/>
        </w:rPr>
        <w:lastRenderedPageBreak/>
        <w:t>Lò vi sóng (kể cả loại kết hợp), bếp điện (bao gồm bếp điện từ) đã được sản xuất, kinh doanh, nhập khẩu trước ngày 01 tháng 7 năm 2021 được tiếp tục lưu thông trên thị trường nhưng không quá 18 tháng (mười tám tháng)”.</w:t>
      </w:r>
    </w:p>
    <w:p w14:paraId="18622664" w14:textId="77777777" w:rsidR="00000000" w:rsidRDefault="00000000">
      <w:pPr>
        <w:spacing w:before="120" w:after="280" w:afterAutospacing="1"/>
      </w:pPr>
      <w:bookmarkStart w:id="6" w:name="dieu_2"/>
      <w:r>
        <w:rPr>
          <w:b/>
          <w:bCs/>
          <w:lang w:val="vi-VN"/>
        </w:rPr>
        <w:t>Điều 2.</w:t>
      </w:r>
      <w:bookmarkEnd w:id="6"/>
      <w:r>
        <w:rPr>
          <w:lang w:val="vi-VN"/>
        </w:rPr>
        <w:t xml:space="preserve"> </w:t>
      </w:r>
      <w:bookmarkStart w:id="7" w:name="dieu_2_name"/>
      <w:r>
        <w:rPr>
          <w:lang w:val="vi-VN"/>
        </w:rPr>
        <w:t>Sửa đổi, bổ sung</w:t>
      </w:r>
      <w:bookmarkEnd w:id="7"/>
      <w:r>
        <w:rPr>
          <w:lang w:val="vi-VN"/>
        </w:rPr>
        <w:t xml:space="preserve"> </w:t>
      </w:r>
      <w:bookmarkStart w:id="8" w:name="dc_2"/>
      <w:r>
        <w:rPr>
          <w:lang w:val="vi-VN"/>
        </w:rPr>
        <w:t>Điều 3 và khoản 2 Điều 4 Thông tư số 08/2019/TT-BKHCN</w:t>
      </w:r>
      <w:bookmarkEnd w:id="8"/>
      <w:r>
        <w:rPr>
          <w:lang w:val="vi-VN"/>
        </w:rPr>
        <w:t xml:space="preserve"> </w:t>
      </w:r>
      <w:bookmarkStart w:id="9" w:name="dieu_2_name_name"/>
      <w:r>
        <w:rPr>
          <w:lang w:val="vi-VN"/>
        </w:rPr>
        <w:t>ngày 25 tháng 9 năm 2019 của Bộ trưởng Bộ Khoa học và Công nghệ ban hành QCVN 19:2019/BKHCN Quy chuẩn kỹ thuật quốc gia về sản phẩm chiếu sáng bằng công nghệ LED</w:t>
      </w:r>
      <w:bookmarkEnd w:id="9"/>
    </w:p>
    <w:p w14:paraId="08679A94" w14:textId="77777777" w:rsidR="00000000" w:rsidRDefault="00000000">
      <w:pPr>
        <w:spacing w:before="120" w:after="280" w:afterAutospacing="1"/>
      </w:pPr>
      <w:bookmarkStart w:id="10" w:name="khoan_1_2"/>
      <w:r>
        <w:rPr>
          <w:lang w:val="vi-VN"/>
        </w:rPr>
        <w:t>1. Sửa đổi, bổ sung</w:t>
      </w:r>
      <w:bookmarkEnd w:id="10"/>
      <w:r>
        <w:rPr>
          <w:lang w:val="vi-VN"/>
        </w:rPr>
        <w:t xml:space="preserve"> </w:t>
      </w:r>
      <w:bookmarkStart w:id="11" w:name="dc_3"/>
      <w:r>
        <w:rPr>
          <w:lang w:val="vi-VN"/>
        </w:rPr>
        <w:t>Điều 3</w:t>
      </w:r>
      <w:bookmarkEnd w:id="11"/>
      <w:r>
        <w:rPr>
          <w:lang w:val="vi-VN"/>
        </w:rPr>
        <w:t xml:space="preserve"> </w:t>
      </w:r>
      <w:bookmarkStart w:id="12" w:name="khoan_1_2_name"/>
      <w:r>
        <w:rPr>
          <w:lang w:val="vi-VN"/>
        </w:rPr>
        <w:t>như sau:</w:t>
      </w:r>
      <w:bookmarkEnd w:id="12"/>
    </w:p>
    <w:p w14:paraId="09A1E7DA" w14:textId="77777777" w:rsidR="00000000" w:rsidRDefault="00000000">
      <w:pPr>
        <w:spacing w:before="120" w:after="280" w:afterAutospacing="1"/>
      </w:pPr>
      <w:r>
        <w:rPr>
          <w:b/>
          <w:bCs/>
          <w:lang w:val="vi-VN"/>
        </w:rPr>
        <w:t>“Điều 3.</w:t>
      </w:r>
      <w:r>
        <w:rPr>
          <w:lang w:val="vi-VN"/>
        </w:rPr>
        <w:t xml:space="preserve"> Điều khoản chuyển tiếp</w:t>
      </w:r>
    </w:p>
    <w:p w14:paraId="23483FA2" w14:textId="77777777" w:rsidR="00000000" w:rsidRDefault="00000000">
      <w:pPr>
        <w:spacing w:before="120" w:after="280" w:afterAutospacing="1"/>
      </w:pPr>
      <w:r>
        <w:rPr>
          <w:lang w:val="vi-VN"/>
        </w:rPr>
        <w:t>1. Các sản phẩm quy định tại Phụ lục ban hành kèm theo QCVN 19:2019/BKHCN được sản xuất, nhập khẩu trước lộ trình quy định tại khoản 1 Điều 4 Thông tư này tiếp tục được lưu thông trên thị trường đến hết ngày 01 tháng 6 năm 2022.</w:t>
      </w:r>
    </w:p>
    <w:p w14:paraId="25BDEE7D" w14:textId="77777777" w:rsidR="00000000" w:rsidRDefault="00000000">
      <w:pPr>
        <w:spacing w:before="120" w:after="280" w:afterAutospacing="1"/>
      </w:pPr>
      <w:r>
        <w:rPr>
          <w:lang w:val="vi-VN"/>
        </w:rPr>
        <w:t>2. Các sản phẩm quy định tại Phụ lục ban hành kèm theo QCVN 19:2019/BKHCN được sản xuất, nhập khẩu trước lộ trình quy định tại khoản 2 Điều 4 Thông tư này tiếp tục được lưu thông trên thị trường đến hết ngày 31 tháng 12 năm 2023.”.</w:t>
      </w:r>
    </w:p>
    <w:p w14:paraId="0272F393" w14:textId="77777777" w:rsidR="00000000" w:rsidRDefault="00000000">
      <w:pPr>
        <w:spacing w:before="120" w:after="280" w:afterAutospacing="1"/>
      </w:pPr>
      <w:bookmarkStart w:id="13" w:name="khoan_2_2"/>
      <w:r>
        <w:rPr>
          <w:lang w:val="vi-VN"/>
        </w:rPr>
        <w:t>2. Sửa đổi, bổ sung</w:t>
      </w:r>
      <w:bookmarkEnd w:id="13"/>
      <w:r>
        <w:rPr>
          <w:lang w:val="vi-VN"/>
        </w:rPr>
        <w:t xml:space="preserve"> </w:t>
      </w:r>
      <w:bookmarkStart w:id="14" w:name="dc_4"/>
      <w:r>
        <w:rPr>
          <w:lang w:val="vi-VN"/>
        </w:rPr>
        <w:t>khoản 2 Điều 4</w:t>
      </w:r>
      <w:bookmarkEnd w:id="14"/>
      <w:r>
        <w:rPr>
          <w:lang w:val="vi-VN"/>
        </w:rPr>
        <w:t xml:space="preserve"> </w:t>
      </w:r>
      <w:bookmarkStart w:id="15" w:name="khoan_2_2_name"/>
      <w:r>
        <w:rPr>
          <w:lang w:val="vi-VN"/>
        </w:rPr>
        <w:t>như sau:</w:t>
      </w:r>
      <w:bookmarkEnd w:id="15"/>
    </w:p>
    <w:p w14:paraId="0EF710CB" w14:textId="77777777" w:rsidR="00000000" w:rsidRDefault="00000000">
      <w:pPr>
        <w:spacing w:before="120" w:after="280" w:afterAutospacing="1"/>
      </w:pPr>
      <w:r>
        <w:rPr>
          <w:lang w:val="vi-VN"/>
        </w:rPr>
        <w:t>“2. Kể từ ngày 01 tháng 01 năm 2023, các sản phẩm quy định tại Phụ lục ban hành kèm theo QCVN 19:2019/BKHCN phải đáp ứng tất cả các yêu cầu quy định tại Mục 2 (Yêu cầu kỹ thuật) của QCVN 19:2019/BKHCN trước khi lưu thông trên thị trường.”.</w:t>
      </w:r>
    </w:p>
    <w:p w14:paraId="374BECAD" w14:textId="77777777" w:rsidR="00000000" w:rsidRDefault="00000000">
      <w:pPr>
        <w:spacing w:before="120" w:after="280" w:afterAutospacing="1"/>
      </w:pPr>
      <w:bookmarkStart w:id="16" w:name="dieu_3"/>
      <w:r>
        <w:rPr>
          <w:b/>
          <w:bCs/>
          <w:lang w:val="vi-VN"/>
        </w:rPr>
        <w:t>Điều 3.</w:t>
      </w:r>
      <w:bookmarkEnd w:id="16"/>
      <w:r>
        <w:rPr>
          <w:lang w:val="vi-VN"/>
        </w:rPr>
        <w:t xml:space="preserve"> </w:t>
      </w:r>
      <w:bookmarkStart w:id="17" w:name="dieu_3_name"/>
      <w:r>
        <w:rPr>
          <w:lang w:val="vi-VN"/>
        </w:rPr>
        <w:t>Điều khoản thi hành</w:t>
      </w:r>
      <w:bookmarkEnd w:id="17"/>
    </w:p>
    <w:p w14:paraId="76C38AC7" w14:textId="77777777" w:rsidR="00000000" w:rsidRDefault="00000000">
      <w:pPr>
        <w:spacing w:before="120" w:after="280" w:afterAutospacing="1"/>
      </w:pPr>
      <w:r>
        <w:rPr>
          <w:lang w:val="vi-VN"/>
        </w:rPr>
        <w:t>1. Thông tư này có hiệu lực thi hành kể từ ngày 01 tháng 4 năm 2022.</w:t>
      </w:r>
    </w:p>
    <w:p w14:paraId="46AFDDA4" w14:textId="77777777" w:rsidR="00000000" w:rsidRDefault="00000000">
      <w:pPr>
        <w:spacing w:before="120" w:after="280" w:afterAutospacing="1"/>
      </w:pPr>
      <w:r>
        <w:rPr>
          <w:lang w:val="vi-VN"/>
        </w:rPr>
        <w:t>2. Các quy định sửa đổi, bổ sung về thiết bị điện, điện tử quy định tại Điều 1 và sản phẩm chiếu sáng bằng công nghệ LED quy định tại khoản 2 Điều 2 Thông tư này được áp dụng kể từ ngày 01 tháng 01 năm 2022.</w:t>
      </w:r>
    </w:p>
    <w:p w14:paraId="63D6C567" w14:textId="77777777" w:rsidR="00000000" w:rsidRDefault="00000000">
      <w:pPr>
        <w:spacing w:before="120" w:after="280" w:afterAutospacing="1"/>
      </w:pPr>
      <w:r>
        <w:rPr>
          <w:lang w:val="vi-VN"/>
        </w:rPr>
        <w:t>3. Tổng cục trưởng Tổng cục Tiêu chuẩn Đo lường Chất lượng có trách nhiệm tổ chức hướng dẫn, triển khai thực hiện Thông tư này.</w:t>
      </w:r>
    </w:p>
    <w:p w14:paraId="415FDEAE" w14:textId="77777777" w:rsidR="00000000" w:rsidRDefault="00000000">
      <w:pPr>
        <w:spacing w:before="120" w:after="280" w:afterAutospacing="1"/>
      </w:pPr>
      <w:r>
        <w:rPr>
          <w:lang w:val="vi-VN"/>
        </w:rPr>
        <w:t>4. Bộ trưởng, Thủ trưởng cơ quan ngang Bộ, Thủ trưởng cơ quan thuộc Chính phủ, Chủ tịch Ủy ban nhân dân các tỉnh, thành phố trực thuộc Trung ương và các tổ chức, cá nhân có liên quan chịu trách nhiệm thi hành Thông tư này.</w:t>
      </w:r>
    </w:p>
    <w:p w14:paraId="15EE8005" w14:textId="77777777" w:rsidR="00000000" w:rsidRDefault="00000000">
      <w:pPr>
        <w:spacing w:before="120" w:after="280" w:afterAutospacing="1"/>
      </w:pPr>
      <w:r>
        <w:rPr>
          <w:lang w:val="vi-VN"/>
        </w:rPr>
        <w:t>5. Trong quá trình thực hiện, nếu phát sinh vướng mắc, cơ quan, tổ chức, cá nhân kịp thời phản ảnh bằng văn bản về Bộ Khoa học và Công nghệ để được hướng dẫn hoặc nghiên cứu sửa đổi, bổ sung cho phù hợp./.</w:t>
      </w:r>
    </w:p>
    <w:p w14:paraId="79B20C3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D1C7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8C8ADA" w14:textId="77777777" w:rsidR="00000000" w:rsidRDefault="00000000">
            <w:pPr>
              <w:spacing w:before="120"/>
            </w:pPr>
            <w:r>
              <w:rPr>
                <w:b/>
                <w:bCs/>
                <w:i/>
                <w:iCs/>
                <w:lang w:val="en-GB"/>
              </w:rPr>
              <w:lastRenderedPageBreak/>
              <w:br/>
            </w:r>
            <w:r>
              <w:rPr>
                <w:b/>
                <w:bCs/>
                <w:i/>
                <w:iCs/>
                <w:lang w:val="vi-VN"/>
              </w:rPr>
              <w:t>Nơi nhận:</w:t>
            </w:r>
            <w:r>
              <w:rPr>
                <w:b/>
                <w:bCs/>
                <w:i/>
                <w:iCs/>
                <w:lang w:val="vi-VN"/>
              </w:rPr>
              <w:br/>
            </w:r>
            <w:r>
              <w:rPr>
                <w:sz w:val="16"/>
                <w:lang w:val="vi-VN"/>
              </w:rPr>
              <w:t>- Thủ tướng Chính phủ;</w:t>
            </w:r>
            <w:r>
              <w:rPr>
                <w:sz w:val="16"/>
                <w:lang w:val="vi-VN"/>
              </w:rPr>
              <w:br/>
              <w:t>- Các Phó Thủ tướng CP;</w:t>
            </w:r>
            <w:r>
              <w:rPr>
                <w:sz w:val="16"/>
                <w:lang w:val="vi-VN"/>
              </w:rPr>
              <w:br/>
              <w:t>- Các Bộ, cơ quan ngang Bộ, cơ quan thuộc GP;</w:t>
            </w:r>
            <w:r>
              <w:rPr>
                <w:sz w:val="16"/>
                <w:lang w:val="vi-VN"/>
              </w:rPr>
              <w:br/>
              <w:t>- UBND các tỉnh, thành phố trực thuộc TW;</w:t>
            </w:r>
            <w:r>
              <w:rPr>
                <w:sz w:val="16"/>
                <w:lang w:val="vi-VN"/>
              </w:rPr>
              <w:br/>
              <w:t>- Viện kiểm sát nhân dân tối cao;</w:t>
            </w:r>
            <w:r>
              <w:rPr>
                <w:sz w:val="16"/>
                <w:lang w:val="vi-VN"/>
              </w:rPr>
              <w:br/>
              <w:t>- Tòa án nhân dân tối cao;</w:t>
            </w:r>
            <w:r>
              <w:rPr>
                <w:sz w:val="16"/>
                <w:lang w:val="vi-VN"/>
              </w:rPr>
              <w:br/>
              <w:t>- Cục Kiểm tra VBQPPL - Bộ Tư pháp;</w:t>
            </w:r>
            <w:r>
              <w:rPr>
                <w:sz w:val="16"/>
                <w:lang w:val="vi-VN"/>
              </w:rPr>
              <w:br/>
              <w:t>- Công báo VPCP;</w:t>
            </w:r>
            <w:r>
              <w:rPr>
                <w:sz w:val="16"/>
                <w:lang w:val="vi-VN"/>
              </w:rPr>
              <w:br/>
              <w:t>- Lưu: VT, TĐC,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B7AF6D"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Lê Xuân Định</w:t>
            </w:r>
          </w:p>
        </w:tc>
      </w:tr>
    </w:tbl>
    <w:p w14:paraId="37DDABB2" w14:textId="77777777" w:rsidR="00ED34CC" w:rsidRDefault="00000000">
      <w:pPr>
        <w:spacing w:before="120" w:after="280" w:afterAutospacing="1"/>
      </w:pPr>
      <w:r>
        <w:rPr>
          <w:lang w:val="vi-VN"/>
        </w:rPr>
        <w:t> </w:t>
      </w:r>
    </w:p>
    <w:sectPr w:rsidR="00ED34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65"/>
    <w:rsid w:val="00ED34CC"/>
    <w:rsid w:val="00EF49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6855F"/>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2022-07-15T04:31:00Z</dcterms:created>
  <dcterms:modified xsi:type="dcterms:W3CDTF">2022-07-15T04:31:00Z</dcterms:modified>
</cp:coreProperties>
</file>